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E62" w:rsidRPr="00FC3E62" w:rsidRDefault="00FC3E62" w:rsidP="00FC3E62">
      <w:pPr>
        <w:tabs>
          <w:tab w:val="left" w:pos="7095"/>
        </w:tabs>
        <w:spacing w:after="0" w:line="240" w:lineRule="auto"/>
        <w:rPr>
          <w:lang w:val="ru-RU"/>
        </w:rPr>
      </w:pPr>
      <w:r>
        <w:rPr>
          <w:b/>
          <w:lang w:val="ru-RU"/>
        </w:rPr>
        <w:t xml:space="preserve"> </w:t>
      </w:r>
      <w:r>
        <w:rPr>
          <w:b/>
          <w:lang w:val="ru-RU"/>
        </w:rPr>
        <w:tab/>
      </w:r>
      <w:r w:rsidRPr="00FC3E62">
        <w:rPr>
          <w:lang w:val="ru-RU"/>
        </w:rPr>
        <w:t>Додаток</w:t>
      </w:r>
    </w:p>
    <w:p w:rsidR="00FC3E62" w:rsidRPr="00FC3E62" w:rsidRDefault="00FC3E62" w:rsidP="00FC3E62">
      <w:pPr>
        <w:tabs>
          <w:tab w:val="left" w:pos="4962"/>
        </w:tabs>
        <w:spacing w:after="0" w:line="240" w:lineRule="auto"/>
        <w:rPr>
          <w:lang w:val="ru-RU"/>
        </w:rPr>
      </w:pPr>
      <w:r w:rsidRPr="00FC3E62">
        <w:rPr>
          <w:lang w:val="ru-RU"/>
        </w:rPr>
        <w:tab/>
        <w:t>до рішення Переяславської міської ради</w:t>
      </w:r>
    </w:p>
    <w:p w:rsidR="00FC3E62" w:rsidRPr="00FC3E62" w:rsidRDefault="00FC3E62" w:rsidP="00FC3E62">
      <w:pPr>
        <w:tabs>
          <w:tab w:val="left" w:pos="7095"/>
        </w:tabs>
        <w:spacing w:after="0" w:line="240" w:lineRule="auto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від «____»_____________2026р.</w:t>
      </w:r>
      <w:r w:rsidR="008110F2" w:rsidRPr="008110F2">
        <w:t xml:space="preserve"> </w:t>
      </w:r>
      <w:r w:rsidR="008110F2" w:rsidRPr="008110F2">
        <w:rPr>
          <w:lang w:val="ru-RU"/>
        </w:rPr>
        <w:t>№ 05п-130-VIII</w:t>
      </w:r>
      <w:bookmarkStart w:id="0" w:name="_GoBack"/>
      <w:bookmarkEnd w:id="0"/>
    </w:p>
    <w:p w:rsidR="007133B8" w:rsidRPr="00FC3E62" w:rsidRDefault="007133B8" w:rsidP="00FC3E62">
      <w:pPr>
        <w:spacing w:after="0" w:line="240" w:lineRule="auto"/>
        <w:rPr>
          <w:lang w:val="ru-RU"/>
        </w:rPr>
      </w:pPr>
    </w:p>
    <w:p w:rsidR="007133B8" w:rsidRPr="007133B8" w:rsidRDefault="007133B8">
      <w:pPr>
        <w:rPr>
          <w:lang w:val="ru-RU"/>
        </w:rPr>
      </w:pPr>
    </w:p>
    <w:p w:rsidR="00620E2D" w:rsidRPr="007133B8" w:rsidRDefault="00620E2D">
      <w:pPr>
        <w:rPr>
          <w:lang w:val="ru-RU"/>
        </w:rPr>
      </w:pPr>
    </w:p>
    <w:p w:rsidR="00620E2D" w:rsidRPr="007133B8" w:rsidRDefault="00620E2D">
      <w:pPr>
        <w:rPr>
          <w:lang w:val="ru-RU"/>
        </w:rPr>
      </w:pPr>
    </w:p>
    <w:p w:rsidR="00620E2D" w:rsidRPr="007133B8" w:rsidRDefault="00620E2D">
      <w:pPr>
        <w:rPr>
          <w:lang w:val="ru-RU"/>
        </w:rPr>
      </w:pPr>
    </w:p>
    <w:p w:rsidR="00620E2D" w:rsidRPr="007133B8" w:rsidRDefault="007133B8">
      <w:pPr>
        <w:spacing w:after="120"/>
        <w:jc w:val="center"/>
        <w:rPr>
          <w:lang w:val="ru-RU"/>
        </w:rPr>
      </w:pPr>
      <w:r w:rsidRPr="007133B8">
        <w:rPr>
          <w:b/>
          <w:lang w:val="ru-RU"/>
        </w:rPr>
        <w:t>ПЕРСПЕКТИВНИЙ ПЛАН РОЗВИТКУ</w:t>
      </w:r>
    </w:p>
    <w:p w:rsidR="00620E2D" w:rsidRPr="007133B8" w:rsidRDefault="007133B8">
      <w:pPr>
        <w:spacing w:after="120"/>
        <w:jc w:val="center"/>
        <w:rPr>
          <w:lang w:val="ru-RU"/>
        </w:rPr>
      </w:pPr>
      <w:r w:rsidRPr="007133B8">
        <w:rPr>
          <w:b/>
          <w:lang w:val="ru-RU"/>
        </w:rPr>
        <w:t>Комунального некомерційного підприємства</w:t>
      </w:r>
    </w:p>
    <w:p w:rsidR="00620E2D" w:rsidRPr="007133B8" w:rsidRDefault="007133B8">
      <w:pPr>
        <w:spacing w:after="120"/>
        <w:jc w:val="center"/>
        <w:rPr>
          <w:lang w:val="ru-RU"/>
        </w:rPr>
      </w:pPr>
      <w:r w:rsidRPr="007133B8">
        <w:rPr>
          <w:b/>
          <w:lang w:val="ru-RU"/>
        </w:rPr>
        <w:t>«Переяславська багатопрофільна лікарня інтенсивного лікування»</w:t>
      </w:r>
    </w:p>
    <w:p w:rsidR="00620E2D" w:rsidRPr="007133B8" w:rsidRDefault="007133B8">
      <w:pPr>
        <w:spacing w:after="120"/>
        <w:jc w:val="center"/>
        <w:rPr>
          <w:lang w:val="ru-RU"/>
        </w:rPr>
      </w:pPr>
      <w:r w:rsidRPr="007133B8">
        <w:rPr>
          <w:b/>
          <w:lang w:val="ru-RU"/>
        </w:rPr>
        <w:t>на 2026–2028 роки</w:t>
      </w:r>
    </w:p>
    <w:p w:rsidR="00620E2D" w:rsidRPr="007133B8" w:rsidRDefault="00620E2D">
      <w:pPr>
        <w:rPr>
          <w:lang w:val="ru-RU"/>
        </w:rPr>
      </w:pPr>
    </w:p>
    <w:p w:rsidR="00620E2D" w:rsidRPr="007133B8" w:rsidRDefault="00620E2D">
      <w:pPr>
        <w:rPr>
          <w:lang w:val="ru-RU"/>
        </w:rPr>
      </w:pPr>
    </w:p>
    <w:p w:rsidR="00620E2D" w:rsidRPr="007133B8" w:rsidRDefault="00620E2D">
      <w:pPr>
        <w:rPr>
          <w:lang w:val="ru-RU"/>
        </w:rPr>
      </w:pPr>
    </w:p>
    <w:p w:rsidR="00620E2D" w:rsidRPr="007133B8" w:rsidRDefault="00620E2D">
      <w:pPr>
        <w:rPr>
          <w:lang w:val="ru-RU"/>
        </w:rPr>
      </w:pPr>
    </w:p>
    <w:p w:rsidR="00620E2D" w:rsidRPr="007133B8" w:rsidRDefault="00620E2D">
      <w:pPr>
        <w:rPr>
          <w:lang w:val="ru-RU"/>
        </w:rPr>
      </w:pPr>
    </w:p>
    <w:p w:rsidR="00620E2D" w:rsidRPr="007133B8" w:rsidRDefault="007133B8">
      <w:pPr>
        <w:spacing w:after="120"/>
        <w:jc w:val="center"/>
        <w:rPr>
          <w:lang w:val="ru-RU"/>
        </w:rPr>
      </w:pPr>
      <w:r w:rsidRPr="007133B8">
        <w:rPr>
          <w:lang w:val="ru-RU"/>
        </w:rPr>
        <w:t>Переяслав — 2026</w:t>
      </w:r>
    </w:p>
    <w:p w:rsidR="00620E2D" w:rsidRPr="007133B8" w:rsidRDefault="007133B8">
      <w:pPr>
        <w:rPr>
          <w:lang w:val="ru-RU"/>
        </w:rPr>
      </w:pPr>
      <w:r w:rsidRPr="007133B8">
        <w:rPr>
          <w:lang w:val="ru-RU"/>
        </w:rPr>
        <w:br w:type="page"/>
      </w:r>
    </w:p>
    <w:p w:rsidR="00620E2D" w:rsidRPr="00FC3E62" w:rsidRDefault="00FC3E62">
      <w:pPr>
        <w:pStyle w:val="1"/>
        <w:spacing w:before="200" w:after="120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lang w:val="ru-RU"/>
        </w:rPr>
        <w:lastRenderedPageBreak/>
        <w:t xml:space="preserve">                                          </w:t>
      </w:r>
      <w:r w:rsidR="007133B8" w:rsidRPr="00FC3E62">
        <w:rPr>
          <w:rFonts w:ascii="Times New Roman" w:hAnsi="Times New Roman" w:cs="Times New Roman"/>
          <w:color w:val="000000" w:themeColor="text1"/>
          <w:lang w:val="ru-RU"/>
        </w:rPr>
        <w:t>1. Загальні положення</w:t>
      </w:r>
    </w:p>
    <w:p w:rsidR="00620E2D" w:rsidRPr="00FC3E62" w:rsidRDefault="007133B8" w:rsidP="00F87EE4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FC3E62">
        <w:rPr>
          <w:rFonts w:cs="Times New Roman"/>
          <w:color w:val="000000" w:themeColor="text1"/>
          <w:sz w:val="28"/>
          <w:szCs w:val="28"/>
          <w:lang w:val="ru-RU"/>
        </w:rPr>
        <w:t>Перспективний план розвитку Комунального</w:t>
      </w:r>
      <w:r w:rsidRPr="00FC3E62">
        <w:rPr>
          <w:rFonts w:cs="Times New Roman"/>
          <w:sz w:val="28"/>
          <w:szCs w:val="28"/>
          <w:lang w:val="ru-RU"/>
        </w:rPr>
        <w:t xml:space="preserve"> некомерційного підприємства «Переяславська багатопрофільна лікарня інтенсивного лікування» на 2026–2028 роки (далі — План) визначає стратегічні цілі, пріоритети, завдання та основні заходи, спрямовані на розвиток медичної допомоги, підвищення її якості та доступності, зміцнення кадрового потенціалу, оновлення матеріально-технічної бази, підвищення фінансової стійкості та ефективності управління Підприємством.</w:t>
      </w:r>
    </w:p>
    <w:p w:rsidR="00620E2D" w:rsidRPr="00FC3E62" w:rsidRDefault="007133B8" w:rsidP="00F87EE4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FC3E62">
        <w:rPr>
          <w:rFonts w:cs="Times New Roman"/>
          <w:sz w:val="28"/>
          <w:szCs w:val="28"/>
          <w:lang w:val="ru-RU"/>
        </w:rPr>
        <w:t>Комунальне некомерційне підприємство «Переяславська багатопрофільна лікарня інтенсивного лікування» (далі — Підприємство) є закладом охорони здоров’я, що надає медичну допомогу в амбулаторних та стаціонарних умовах відповідно до законодавства України, Статуту Підприємства, ліцензії на провадження медичної практики та укладених договорів.</w:t>
      </w:r>
    </w:p>
    <w:p w:rsidR="00620E2D" w:rsidRPr="00FC3E62" w:rsidRDefault="007133B8" w:rsidP="00F87EE4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FC3E62">
        <w:rPr>
          <w:rFonts w:cs="Times New Roman"/>
          <w:sz w:val="28"/>
          <w:szCs w:val="28"/>
          <w:lang w:val="ru-RU"/>
        </w:rPr>
        <w:t>Підприємство створене рішенням Переяслав-Хмельницької районної ради від 31 травня 2018 року № 299-20-</w:t>
      </w:r>
      <w:r w:rsidRPr="00FC3E62">
        <w:rPr>
          <w:rFonts w:cs="Times New Roman"/>
          <w:sz w:val="28"/>
          <w:szCs w:val="28"/>
        </w:rPr>
        <w:t>VII</w:t>
      </w:r>
      <w:r w:rsidRPr="00FC3E62">
        <w:rPr>
          <w:rFonts w:cs="Times New Roman"/>
          <w:sz w:val="28"/>
          <w:szCs w:val="28"/>
          <w:lang w:val="ru-RU"/>
        </w:rPr>
        <w:t xml:space="preserve"> «Про реорганізацію комунального закладу «Переяслав-Хмельницька центральна районна лікарня» в комунальне некомерційне підприємство Переяслав-Хмельницької районної ради «Переяслав-Хмельницька центральна районна лікарня» шляхом перетворення комунального закладу охорони здоров’я у комунальне некомерційне підприємство.</w:t>
      </w:r>
    </w:p>
    <w:p w:rsidR="00620E2D" w:rsidRPr="00FC3E62" w:rsidRDefault="007133B8" w:rsidP="00F87EE4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FC3E62">
        <w:rPr>
          <w:rFonts w:cs="Times New Roman"/>
          <w:sz w:val="28"/>
          <w:szCs w:val="28"/>
          <w:lang w:val="ru-RU"/>
        </w:rPr>
        <w:t>Органом управління Підприємства є Переяславська міська рада. Підприємство є підпорядкованим, підзвітним та підконтрольним засновникам у межах їх повноважень.</w:t>
      </w:r>
    </w:p>
    <w:p w:rsidR="00620E2D" w:rsidRPr="00FC3E62" w:rsidRDefault="007133B8" w:rsidP="00F87EE4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FC3E62">
        <w:rPr>
          <w:rFonts w:cs="Times New Roman"/>
          <w:sz w:val="28"/>
          <w:szCs w:val="28"/>
          <w:lang w:val="ru-RU"/>
        </w:rPr>
        <w:t>У своїй діяльності Підприємство керується Конституцією України, Господарським та Цивільним кодексами України, законами України, актами Президента України, Кабінету Міністрів України, нормативно-правовими актами у сфері охорони здоров’я, рішеннями органів місцевого самоврядування та Статутом Підприємства.</w:t>
      </w:r>
    </w:p>
    <w:p w:rsidR="00620E2D" w:rsidRPr="00FC3E62" w:rsidRDefault="00FC3E62">
      <w:pPr>
        <w:pStyle w:val="1"/>
        <w:spacing w:before="200" w:after="120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lang w:val="ru-RU"/>
        </w:rPr>
        <w:t xml:space="preserve">                                                  </w:t>
      </w:r>
      <w:r w:rsidR="007133B8" w:rsidRPr="00FC3E62">
        <w:rPr>
          <w:rFonts w:ascii="Times New Roman" w:hAnsi="Times New Roman" w:cs="Times New Roman"/>
          <w:color w:val="000000" w:themeColor="text1"/>
          <w:lang w:val="ru-RU"/>
        </w:rPr>
        <w:t>2. Мета, місія та цінності</w:t>
      </w:r>
    </w:p>
    <w:p w:rsidR="00620E2D" w:rsidRPr="00FC3E62" w:rsidRDefault="007133B8">
      <w:pPr>
        <w:pStyle w:val="21"/>
        <w:spacing w:after="12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C3E62">
        <w:rPr>
          <w:rFonts w:ascii="Times New Roman" w:hAnsi="Times New Roman" w:cs="Times New Roman"/>
          <w:color w:val="auto"/>
          <w:lang w:val="ru-RU"/>
        </w:rPr>
        <w:t>2</w:t>
      </w:r>
      <w:r w:rsidRPr="00FC3E62">
        <w:rPr>
          <w:rFonts w:ascii="Times New Roman" w:hAnsi="Times New Roman" w:cs="Times New Roman"/>
          <w:color w:val="auto"/>
          <w:sz w:val="28"/>
          <w:szCs w:val="28"/>
          <w:lang w:val="ru-RU"/>
        </w:rPr>
        <w:t>.1. Мета діяльності</w:t>
      </w:r>
    </w:p>
    <w:p w:rsidR="00620E2D" w:rsidRPr="00FC3E62" w:rsidRDefault="007133B8" w:rsidP="00F87EE4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FC3E62">
        <w:rPr>
          <w:rFonts w:cs="Times New Roman"/>
          <w:sz w:val="28"/>
          <w:szCs w:val="28"/>
          <w:lang w:val="ru-RU"/>
        </w:rPr>
        <w:t>Метою діяльності Підприємства є забезпечення населення доступною, якісною, безпечною та своєчасною медичною допомогою, профілактика захворювань, підтримка громадського здоров’я, розвиток сучасних медичних послуг та ефективне використання кадрових, фінансових, матеріально-технічних і технологічних ресурсів.</w:t>
      </w:r>
    </w:p>
    <w:p w:rsidR="00620E2D" w:rsidRPr="00FC3E62" w:rsidRDefault="007133B8">
      <w:pPr>
        <w:pStyle w:val="21"/>
        <w:spacing w:after="12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C3E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2.2. Місія</w:t>
      </w:r>
    </w:p>
    <w:p w:rsidR="00620E2D" w:rsidRPr="00FC3E62" w:rsidRDefault="007133B8" w:rsidP="00F87EE4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FC3E62">
        <w:rPr>
          <w:rFonts w:cs="Times New Roman"/>
          <w:sz w:val="28"/>
          <w:szCs w:val="28"/>
          <w:lang w:val="ru-RU"/>
        </w:rPr>
        <w:t>Місія Підприємства — надання якісної медичної допомоги населенню в амбулаторних і стаціонарних умовах відповідно до потреб населення, вимог законодавства, ліцензійних умов, галузевих стандартів, клінічних протоколів та договорів про медичне обслуговування населення.</w:t>
      </w:r>
    </w:p>
    <w:p w:rsidR="00620E2D" w:rsidRPr="00F87EE4" w:rsidRDefault="007133B8">
      <w:pPr>
        <w:pStyle w:val="21"/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E4">
        <w:rPr>
          <w:rFonts w:ascii="Times New Roman" w:hAnsi="Times New Roman" w:cs="Times New Roman"/>
          <w:color w:val="000000" w:themeColor="text1"/>
        </w:rPr>
        <w:t>2</w:t>
      </w:r>
      <w:r w:rsidRPr="00F87EE4">
        <w:rPr>
          <w:rFonts w:ascii="Times New Roman" w:hAnsi="Times New Roman" w:cs="Times New Roman"/>
          <w:color w:val="000000" w:themeColor="text1"/>
          <w:sz w:val="28"/>
          <w:szCs w:val="28"/>
        </w:rPr>
        <w:t>.3. Цінності</w:t>
      </w:r>
    </w:p>
    <w:p w:rsidR="00620E2D" w:rsidRPr="00F87EE4" w:rsidRDefault="007133B8" w:rsidP="006F7C4C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F87EE4">
        <w:rPr>
          <w:rFonts w:cs="Times New Roman"/>
          <w:sz w:val="28"/>
          <w:szCs w:val="28"/>
          <w:lang w:val="ru-RU"/>
        </w:rPr>
        <w:t>Якість — прагнення до найкращих можливих результатів медичної допомоги.</w:t>
      </w:r>
    </w:p>
    <w:p w:rsidR="00620E2D" w:rsidRPr="00F87EE4" w:rsidRDefault="007133B8" w:rsidP="006F7C4C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F87EE4">
        <w:rPr>
          <w:rFonts w:cs="Times New Roman"/>
          <w:sz w:val="28"/>
          <w:szCs w:val="28"/>
          <w:lang w:val="ru-RU"/>
        </w:rPr>
        <w:t>Безпека — мінімізація ризиків для пацієнтів і працівників.</w:t>
      </w:r>
    </w:p>
    <w:p w:rsidR="00620E2D" w:rsidRPr="00F87EE4" w:rsidRDefault="007133B8" w:rsidP="006F7C4C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F87EE4">
        <w:rPr>
          <w:rFonts w:cs="Times New Roman"/>
          <w:sz w:val="28"/>
          <w:szCs w:val="28"/>
          <w:lang w:val="ru-RU"/>
        </w:rPr>
        <w:lastRenderedPageBreak/>
        <w:t>Повага і співчуття — гідне ставлення до кожного пацієнта.</w:t>
      </w:r>
    </w:p>
    <w:p w:rsidR="00620E2D" w:rsidRPr="00F87EE4" w:rsidRDefault="007133B8" w:rsidP="006F7C4C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F87EE4">
        <w:rPr>
          <w:rFonts w:cs="Times New Roman"/>
          <w:sz w:val="28"/>
          <w:szCs w:val="28"/>
          <w:lang w:val="ru-RU"/>
        </w:rPr>
        <w:t>Пацієнтоорієнтованість — залучення пацієнта та його сім’ї до прийняття рішень щодо здоров’я в межах законодавства.</w:t>
      </w:r>
    </w:p>
    <w:p w:rsidR="00620E2D" w:rsidRPr="00F87EE4" w:rsidRDefault="007133B8" w:rsidP="006F7C4C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F87EE4">
        <w:rPr>
          <w:rFonts w:cs="Times New Roman"/>
          <w:sz w:val="28"/>
          <w:szCs w:val="28"/>
          <w:lang w:val="ru-RU"/>
        </w:rPr>
        <w:t>Професіоналізм — безперервний професійний розвиток і застосування сучасних знань.</w:t>
      </w:r>
    </w:p>
    <w:p w:rsidR="00620E2D" w:rsidRPr="00F87EE4" w:rsidRDefault="007133B8" w:rsidP="006F7C4C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F87EE4">
        <w:rPr>
          <w:rFonts w:cs="Times New Roman"/>
          <w:sz w:val="28"/>
          <w:szCs w:val="28"/>
          <w:lang w:val="ru-RU"/>
        </w:rPr>
        <w:t>Розвиток та інновації — впровадження сучасних технологій діагностики, лікування та організації допомоги.</w:t>
      </w:r>
    </w:p>
    <w:p w:rsidR="00620E2D" w:rsidRPr="00F87EE4" w:rsidRDefault="007133B8" w:rsidP="006F7C4C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F87EE4">
        <w:rPr>
          <w:rFonts w:cs="Times New Roman"/>
          <w:sz w:val="28"/>
          <w:szCs w:val="28"/>
          <w:lang w:val="ru-RU"/>
        </w:rPr>
        <w:t>Командна робота — узгоджена діяльність працівників.</w:t>
      </w:r>
    </w:p>
    <w:p w:rsidR="00620E2D" w:rsidRPr="00F87EE4" w:rsidRDefault="007133B8" w:rsidP="006F7C4C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F87EE4">
        <w:rPr>
          <w:rFonts w:cs="Times New Roman"/>
          <w:sz w:val="28"/>
          <w:szCs w:val="28"/>
          <w:lang w:val="ru-RU"/>
        </w:rPr>
        <w:t>Відповідальність — відповідальне ставлення до професійних рішень, ресурсів та результатів роботи.</w:t>
      </w:r>
    </w:p>
    <w:p w:rsidR="00620E2D" w:rsidRPr="00F87EE4" w:rsidRDefault="007133B8" w:rsidP="006F7C4C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F87EE4">
        <w:rPr>
          <w:rFonts w:cs="Times New Roman"/>
          <w:sz w:val="28"/>
          <w:szCs w:val="28"/>
          <w:lang w:val="ru-RU"/>
        </w:rPr>
        <w:t>Відкритість — чесність, доброчесність, прозорість та належна комунікація.</w:t>
      </w:r>
    </w:p>
    <w:p w:rsidR="00620E2D" w:rsidRPr="00F87EE4" w:rsidRDefault="007133B8" w:rsidP="00F87EE4">
      <w:pPr>
        <w:pStyle w:val="1"/>
        <w:spacing w:before="200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F87EE4">
        <w:rPr>
          <w:rFonts w:ascii="Times New Roman" w:hAnsi="Times New Roman" w:cs="Times New Roman"/>
          <w:color w:val="000000" w:themeColor="text1"/>
          <w:lang w:val="ru-RU"/>
        </w:rPr>
        <w:t>3. Характеристика Підприємства та території обслуговування</w:t>
      </w:r>
    </w:p>
    <w:p w:rsidR="00620E2D" w:rsidRPr="00F87EE4" w:rsidRDefault="007133B8" w:rsidP="006F7C4C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F87EE4">
        <w:rPr>
          <w:rFonts w:cs="Times New Roman"/>
          <w:sz w:val="28"/>
          <w:szCs w:val="28"/>
          <w:lang w:val="ru-RU"/>
        </w:rPr>
        <w:t>Підприємство розташоване у місті Переяслав</w:t>
      </w:r>
      <w:r w:rsidR="00F87EE4">
        <w:rPr>
          <w:rFonts w:cs="Times New Roman"/>
          <w:sz w:val="28"/>
          <w:szCs w:val="28"/>
          <w:lang w:val="ru-RU"/>
        </w:rPr>
        <w:t>і</w:t>
      </w:r>
      <w:r w:rsidRPr="00F87EE4">
        <w:rPr>
          <w:rFonts w:cs="Times New Roman"/>
          <w:sz w:val="28"/>
          <w:szCs w:val="28"/>
          <w:lang w:val="ru-RU"/>
        </w:rPr>
        <w:t xml:space="preserve"> Київської області, на території Переяславської територіальної громади, за адресою: 08403, Київська область, м. Переяслав, вул. Богдана Хмельницького, 137.</w:t>
      </w:r>
    </w:p>
    <w:p w:rsidR="00620E2D" w:rsidRPr="00F87EE4" w:rsidRDefault="007133B8" w:rsidP="006F7C4C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F87EE4">
        <w:rPr>
          <w:rFonts w:cs="Times New Roman"/>
          <w:sz w:val="28"/>
          <w:szCs w:val="28"/>
          <w:lang w:val="ru-RU"/>
        </w:rPr>
        <w:t>Відстань до Комунального некомерційного підприємства «Бориспільська багатопрофільна лікарня інтенсивного лікування»</w:t>
      </w:r>
      <w:r w:rsidR="001D4E55" w:rsidRPr="00F87EE4">
        <w:rPr>
          <w:rFonts w:cs="Times New Roman"/>
          <w:sz w:val="28"/>
          <w:szCs w:val="28"/>
          <w:lang w:val="ru-RU"/>
        </w:rPr>
        <w:t xml:space="preserve"> (КНП "ББЛІЛ") 01994132 </w:t>
      </w:r>
      <w:r w:rsidRPr="00F87EE4">
        <w:rPr>
          <w:rFonts w:cs="Times New Roman"/>
          <w:sz w:val="28"/>
          <w:szCs w:val="28"/>
          <w:lang w:val="ru-RU"/>
        </w:rPr>
        <w:t>становить близько 50 км.</w:t>
      </w:r>
    </w:p>
    <w:p w:rsidR="001D4E55" w:rsidRPr="00F87EE4" w:rsidRDefault="001D4E55" w:rsidP="006F7C4C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F87EE4">
        <w:rPr>
          <w:rFonts w:cs="Times New Roman"/>
          <w:sz w:val="28"/>
          <w:szCs w:val="28"/>
          <w:lang w:val="ru-RU"/>
        </w:rPr>
        <w:t>Підприємство спроможне забезпечити на території госпітального кластера потребу населення в медичній допомозі при найбільш поширених захворюваннях і станах за напрямами стаціонарної та амбулаторної медичної допомоги відповідно до переліку, визначеного Основами  законодавства України про охорону здоров'я та Кабінетом Міністрів України як кластерна лікарня.</w:t>
      </w:r>
    </w:p>
    <w:p w:rsidR="00620E2D" w:rsidRPr="00F87EE4" w:rsidRDefault="007133B8" w:rsidP="006F7C4C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F87EE4">
        <w:rPr>
          <w:rFonts w:cs="Times New Roman"/>
          <w:sz w:val="28"/>
          <w:szCs w:val="28"/>
          <w:lang w:val="ru-RU"/>
        </w:rPr>
        <w:t xml:space="preserve">Фактично Підприємство обслуговує близько 57 тисяч населення, з яких близько 33 тисяч — населення Переяславської територіальної громади та близько 24 тисяч — населення сусідніх територіальних громад. </w:t>
      </w:r>
      <w:r w:rsidR="001D4E55" w:rsidRPr="00F87EE4">
        <w:rPr>
          <w:rFonts w:cs="Times New Roman"/>
          <w:sz w:val="28"/>
          <w:szCs w:val="28"/>
          <w:lang w:val="uk-UA"/>
        </w:rPr>
        <w:t>Серед них</w:t>
      </w:r>
      <w:r w:rsidR="001D4E55" w:rsidRPr="00F87EE4">
        <w:rPr>
          <w:rFonts w:cs="Times New Roman"/>
          <w:sz w:val="28"/>
          <w:szCs w:val="28"/>
        </w:rPr>
        <w:t xml:space="preserve"> 3</w:t>
      </w:r>
      <w:r w:rsidRPr="00F87EE4">
        <w:rPr>
          <w:rFonts w:cs="Times New Roman"/>
          <w:sz w:val="28"/>
          <w:szCs w:val="28"/>
        </w:rPr>
        <w:t>853 внутрішньо переміщені особи.</w:t>
      </w: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4986"/>
        <w:gridCol w:w="4986"/>
      </w:tblGrid>
      <w:tr w:rsidR="00620E2D" w:rsidRPr="00F87EE4">
        <w:trPr>
          <w:jc w:val="center"/>
        </w:trPr>
        <w:tc>
          <w:tcPr>
            <w:tcW w:w="4986" w:type="dxa"/>
            <w:vAlign w:val="center"/>
          </w:tcPr>
          <w:p w:rsidR="00620E2D" w:rsidRPr="00F87EE4" w:rsidRDefault="007133B8">
            <w:pPr>
              <w:rPr>
                <w:rFonts w:cs="Times New Roman"/>
                <w:sz w:val="28"/>
                <w:szCs w:val="28"/>
              </w:rPr>
            </w:pPr>
            <w:r w:rsidRPr="00F87EE4">
              <w:rPr>
                <w:rFonts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4986" w:type="dxa"/>
            <w:vAlign w:val="center"/>
          </w:tcPr>
          <w:p w:rsidR="00620E2D" w:rsidRPr="00F87EE4" w:rsidRDefault="007133B8">
            <w:pPr>
              <w:rPr>
                <w:rFonts w:cs="Times New Roman"/>
                <w:sz w:val="28"/>
                <w:szCs w:val="28"/>
              </w:rPr>
            </w:pPr>
            <w:r w:rsidRPr="00F87EE4">
              <w:rPr>
                <w:rFonts w:cs="Times New Roman"/>
                <w:b/>
                <w:sz w:val="28"/>
                <w:szCs w:val="28"/>
              </w:rPr>
              <w:t>Кількість</w:t>
            </w:r>
          </w:p>
        </w:tc>
      </w:tr>
      <w:tr w:rsidR="00620E2D" w:rsidRPr="00F87EE4">
        <w:trPr>
          <w:jc w:val="center"/>
        </w:trPr>
        <w:tc>
          <w:tcPr>
            <w:tcW w:w="4986" w:type="dxa"/>
            <w:vAlign w:val="center"/>
          </w:tcPr>
          <w:p w:rsidR="00620E2D" w:rsidRPr="00F87EE4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F87EE4">
              <w:rPr>
                <w:rFonts w:cs="Times New Roman"/>
                <w:sz w:val="28"/>
                <w:szCs w:val="28"/>
                <w:lang w:val="ru-RU"/>
              </w:rPr>
              <w:t>Населення громади станом на 2026 рік</w:t>
            </w:r>
          </w:p>
        </w:tc>
        <w:tc>
          <w:tcPr>
            <w:tcW w:w="4986" w:type="dxa"/>
            <w:vAlign w:val="center"/>
          </w:tcPr>
          <w:p w:rsidR="00620E2D" w:rsidRPr="00F87EE4" w:rsidRDefault="007133B8">
            <w:pPr>
              <w:rPr>
                <w:rFonts w:cs="Times New Roman"/>
                <w:sz w:val="28"/>
                <w:szCs w:val="28"/>
              </w:rPr>
            </w:pPr>
            <w:r w:rsidRPr="00F87EE4">
              <w:rPr>
                <w:rFonts w:cs="Times New Roman"/>
                <w:sz w:val="28"/>
                <w:szCs w:val="28"/>
              </w:rPr>
              <w:t>32 817</w:t>
            </w:r>
          </w:p>
        </w:tc>
      </w:tr>
      <w:tr w:rsidR="00620E2D" w:rsidRPr="00F87EE4">
        <w:trPr>
          <w:jc w:val="center"/>
        </w:trPr>
        <w:tc>
          <w:tcPr>
            <w:tcW w:w="4986" w:type="dxa"/>
            <w:vAlign w:val="center"/>
          </w:tcPr>
          <w:p w:rsidR="00620E2D" w:rsidRPr="00F87EE4" w:rsidRDefault="007133B8">
            <w:pPr>
              <w:rPr>
                <w:rFonts w:cs="Times New Roman"/>
                <w:sz w:val="28"/>
                <w:szCs w:val="28"/>
              </w:rPr>
            </w:pPr>
            <w:r w:rsidRPr="00F87EE4">
              <w:rPr>
                <w:rFonts w:cs="Times New Roman"/>
                <w:sz w:val="28"/>
                <w:szCs w:val="28"/>
              </w:rPr>
              <w:t>Діти 0–14 років</w:t>
            </w:r>
          </w:p>
        </w:tc>
        <w:tc>
          <w:tcPr>
            <w:tcW w:w="4986" w:type="dxa"/>
            <w:vAlign w:val="center"/>
          </w:tcPr>
          <w:p w:rsidR="00620E2D" w:rsidRPr="00F87EE4" w:rsidRDefault="007133B8">
            <w:pPr>
              <w:rPr>
                <w:rFonts w:cs="Times New Roman"/>
                <w:sz w:val="28"/>
                <w:szCs w:val="28"/>
              </w:rPr>
            </w:pPr>
            <w:r w:rsidRPr="00F87EE4">
              <w:rPr>
                <w:rFonts w:cs="Times New Roman"/>
                <w:sz w:val="28"/>
                <w:szCs w:val="28"/>
              </w:rPr>
              <w:t>3 891</w:t>
            </w:r>
          </w:p>
        </w:tc>
      </w:tr>
      <w:tr w:rsidR="00620E2D" w:rsidRPr="00F87EE4">
        <w:trPr>
          <w:jc w:val="center"/>
        </w:trPr>
        <w:tc>
          <w:tcPr>
            <w:tcW w:w="4986" w:type="dxa"/>
            <w:vAlign w:val="center"/>
          </w:tcPr>
          <w:p w:rsidR="00620E2D" w:rsidRPr="00F87EE4" w:rsidRDefault="007133B8">
            <w:pPr>
              <w:rPr>
                <w:rFonts w:cs="Times New Roman"/>
                <w:sz w:val="28"/>
                <w:szCs w:val="28"/>
              </w:rPr>
            </w:pPr>
            <w:r w:rsidRPr="00F87EE4">
              <w:rPr>
                <w:rFonts w:cs="Times New Roman"/>
                <w:sz w:val="28"/>
                <w:szCs w:val="28"/>
              </w:rPr>
              <w:t>Підлітки 15–17 років</w:t>
            </w:r>
          </w:p>
        </w:tc>
        <w:tc>
          <w:tcPr>
            <w:tcW w:w="4986" w:type="dxa"/>
            <w:vAlign w:val="center"/>
          </w:tcPr>
          <w:p w:rsidR="00620E2D" w:rsidRPr="00F87EE4" w:rsidRDefault="007133B8">
            <w:pPr>
              <w:rPr>
                <w:rFonts w:cs="Times New Roman"/>
                <w:sz w:val="28"/>
                <w:szCs w:val="28"/>
              </w:rPr>
            </w:pPr>
            <w:r w:rsidRPr="00F87EE4">
              <w:rPr>
                <w:rFonts w:cs="Times New Roman"/>
                <w:sz w:val="28"/>
                <w:szCs w:val="28"/>
              </w:rPr>
              <w:t>1 169</w:t>
            </w:r>
          </w:p>
        </w:tc>
      </w:tr>
      <w:tr w:rsidR="00620E2D" w:rsidRPr="00F87EE4">
        <w:trPr>
          <w:jc w:val="center"/>
        </w:trPr>
        <w:tc>
          <w:tcPr>
            <w:tcW w:w="4986" w:type="dxa"/>
            <w:vAlign w:val="center"/>
          </w:tcPr>
          <w:p w:rsidR="00620E2D" w:rsidRPr="00F87EE4" w:rsidRDefault="007133B8">
            <w:pPr>
              <w:rPr>
                <w:rFonts w:cs="Times New Roman"/>
                <w:sz w:val="28"/>
                <w:szCs w:val="28"/>
              </w:rPr>
            </w:pPr>
            <w:r w:rsidRPr="00F87EE4">
              <w:rPr>
                <w:rFonts w:cs="Times New Roman"/>
                <w:sz w:val="28"/>
                <w:szCs w:val="28"/>
              </w:rPr>
              <w:t>Дорослі 18 років і старші</w:t>
            </w:r>
          </w:p>
        </w:tc>
        <w:tc>
          <w:tcPr>
            <w:tcW w:w="4986" w:type="dxa"/>
            <w:vAlign w:val="center"/>
          </w:tcPr>
          <w:p w:rsidR="00620E2D" w:rsidRPr="00F87EE4" w:rsidRDefault="007133B8">
            <w:pPr>
              <w:rPr>
                <w:rFonts w:cs="Times New Roman"/>
                <w:sz w:val="28"/>
                <w:szCs w:val="28"/>
              </w:rPr>
            </w:pPr>
            <w:r w:rsidRPr="00F87EE4">
              <w:rPr>
                <w:rFonts w:cs="Times New Roman"/>
                <w:sz w:val="28"/>
                <w:szCs w:val="28"/>
              </w:rPr>
              <w:t>18 630</w:t>
            </w:r>
          </w:p>
        </w:tc>
      </w:tr>
      <w:tr w:rsidR="00620E2D" w:rsidRPr="00F87EE4">
        <w:trPr>
          <w:jc w:val="center"/>
        </w:trPr>
        <w:tc>
          <w:tcPr>
            <w:tcW w:w="4986" w:type="dxa"/>
            <w:vAlign w:val="center"/>
          </w:tcPr>
          <w:p w:rsidR="00620E2D" w:rsidRPr="00F87EE4" w:rsidRDefault="007133B8">
            <w:pPr>
              <w:rPr>
                <w:rFonts w:cs="Times New Roman"/>
                <w:sz w:val="28"/>
                <w:szCs w:val="28"/>
              </w:rPr>
            </w:pPr>
            <w:r w:rsidRPr="00F87EE4">
              <w:rPr>
                <w:rFonts w:cs="Times New Roman"/>
                <w:sz w:val="28"/>
                <w:szCs w:val="28"/>
              </w:rPr>
              <w:t>Пенсіонери</w:t>
            </w:r>
          </w:p>
        </w:tc>
        <w:tc>
          <w:tcPr>
            <w:tcW w:w="4986" w:type="dxa"/>
            <w:vAlign w:val="center"/>
          </w:tcPr>
          <w:p w:rsidR="00620E2D" w:rsidRPr="00F87EE4" w:rsidRDefault="007133B8">
            <w:pPr>
              <w:rPr>
                <w:rFonts w:cs="Times New Roman"/>
                <w:sz w:val="28"/>
                <w:szCs w:val="28"/>
              </w:rPr>
            </w:pPr>
            <w:r w:rsidRPr="00F87EE4">
              <w:rPr>
                <w:rFonts w:cs="Times New Roman"/>
                <w:sz w:val="28"/>
                <w:szCs w:val="28"/>
              </w:rPr>
              <w:t>9 127</w:t>
            </w:r>
          </w:p>
        </w:tc>
      </w:tr>
    </w:tbl>
    <w:p w:rsidR="00620E2D" w:rsidRPr="00F87EE4" w:rsidRDefault="00620E2D">
      <w:pPr>
        <w:rPr>
          <w:rFonts w:cs="Times New Roman"/>
          <w:sz w:val="28"/>
          <w:szCs w:val="28"/>
        </w:rPr>
      </w:pPr>
    </w:p>
    <w:p w:rsidR="00620E2D" w:rsidRPr="006F7C4C" w:rsidRDefault="007133B8" w:rsidP="006F7C4C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6F7C4C">
        <w:rPr>
          <w:rFonts w:cs="Times New Roman"/>
          <w:sz w:val="28"/>
          <w:szCs w:val="28"/>
        </w:rPr>
        <w:t>У стаціонарних відділеннях Підприємства щороку проходять лікування понад 8,1 тисячі пацієнтів, а до 64,8 тисячі осіб на рік обслуговуються лікарями-спеціалістами консультативно-діагностичної поліклініки.</w:t>
      </w:r>
    </w:p>
    <w:p w:rsidR="00620E2D" w:rsidRPr="006F7C4C" w:rsidRDefault="007133B8">
      <w:pPr>
        <w:pStyle w:val="1"/>
        <w:spacing w:before="200" w:after="120"/>
        <w:rPr>
          <w:rFonts w:ascii="Times New Roman" w:hAnsi="Times New Roman" w:cs="Times New Roman"/>
          <w:color w:val="auto"/>
        </w:rPr>
      </w:pPr>
      <w:r w:rsidRPr="006F7C4C">
        <w:rPr>
          <w:rFonts w:ascii="Times New Roman" w:hAnsi="Times New Roman" w:cs="Times New Roman"/>
          <w:color w:val="auto"/>
        </w:rPr>
        <w:t>4. Структура Підприємства</w:t>
      </w:r>
    </w:p>
    <w:p w:rsidR="00620E2D" w:rsidRPr="006F7C4C" w:rsidRDefault="007133B8" w:rsidP="006F7C4C">
      <w:pPr>
        <w:pStyle w:val="a0"/>
        <w:spacing w:after="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 xml:space="preserve">Адміністративний підрозділ: кабінет директора, кабінет медичного директора, кабінет заступника директора, кабінет заступника директора з господарської роботи, кабінет головної медичної сестри, кабінет головного бухгалтера, </w:t>
      </w:r>
      <w:r w:rsidRPr="006F7C4C">
        <w:rPr>
          <w:rFonts w:cs="Times New Roman"/>
          <w:sz w:val="28"/>
          <w:szCs w:val="28"/>
          <w:lang w:val="ru-RU"/>
        </w:rPr>
        <w:lastRenderedPageBreak/>
        <w:t>кабінет начальника відділу кадрів, організаційно-методичний кабінет, бухгалтерія.</w:t>
      </w:r>
    </w:p>
    <w:p w:rsidR="00620E2D" w:rsidRPr="006F7C4C" w:rsidRDefault="007133B8" w:rsidP="006F7C4C">
      <w:pPr>
        <w:pStyle w:val="a0"/>
        <w:spacing w:after="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Стаціонарні підрозділи: терапевтичне відділення (40 ліжок); гінекологічне (20); неврологічне (30); педіатричне (30); кардіологічне (35); інфекційне (10 ліжок для дорослих та 15 для дітей); хірургічно-травматологічне (28 хірургічних та 12 травматологічних ліжок); операційний блок; анестезіологічне відділення з ліжками інтенсивної терапії (10 ліжок); відділення екстреної (невідкладної) медичної допомоги.</w:t>
      </w:r>
    </w:p>
    <w:p w:rsidR="00620E2D" w:rsidRPr="006F7C4C" w:rsidRDefault="007133B8" w:rsidP="006F7C4C">
      <w:pPr>
        <w:pStyle w:val="a0"/>
        <w:spacing w:after="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Консультативно-діагностична поліклініка: реєстратура, кабінети лікарів-спеціалістів, маніпуляційний кабінет, кабінет завідувача, жіноча консультація, кабінет профілактичних оглядів, кабінет «Довіра», кабінет інфекційних захворювань, стоматологічний кабінет.</w:t>
      </w:r>
    </w:p>
    <w:p w:rsidR="00620E2D" w:rsidRPr="006F7C4C" w:rsidRDefault="007133B8" w:rsidP="006F7C4C">
      <w:pPr>
        <w:pStyle w:val="a0"/>
        <w:spacing w:after="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Допоміжні підрозділи: клініко-діагностична лабораторія, рентгенологічне відділення, кабінет функціональної діагностики, кабінет ультразвукової діагностики, кабінет фібро-, гастро- та колоноскопії, фізіотерапевтичне відділення, патолого-анатомічне відділення, банк крові, аптека, відділ інфекційного контролю.</w:t>
      </w:r>
    </w:p>
    <w:p w:rsidR="00620E2D" w:rsidRPr="006F7C4C" w:rsidRDefault="007133B8" w:rsidP="006F7C4C">
      <w:pPr>
        <w:pStyle w:val="a0"/>
        <w:spacing w:after="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Господарсько-обслуговуючі підрозділи: гараж, харчоблок, стерилізація, пральня, склад, дезкамера.</w:t>
      </w:r>
    </w:p>
    <w:p w:rsidR="00620E2D" w:rsidRPr="006F7C4C" w:rsidRDefault="007133B8">
      <w:pPr>
        <w:pStyle w:val="1"/>
        <w:spacing w:before="200" w:after="120"/>
        <w:rPr>
          <w:rFonts w:ascii="Times New Roman" w:hAnsi="Times New Roman" w:cs="Times New Roman"/>
          <w:color w:val="auto"/>
        </w:rPr>
      </w:pPr>
      <w:r w:rsidRPr="006F7C4C">
        <w:rPr>
          <w:rFonts w:ascii="Times New Roman" w:hAnsi="Times New Roman" w:cs="Times New Roman"/>
          <w:color w:val="auto"/>
        </w:rPr>
        <w:t>5. Кадровий потенціал</w:t>
      </w: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6544"/>
        <w:gridCol w:w="1134"/>
        <w:gridCol w:w="1134"/>
        <w:gridCol w:w="1206"/>
      </w:tblGrid>
      <w:tr w:rsidR="00620E2D" w:rsidRPr="006F7C4C" w:rsidTr="006F7C4C">
        <w:trPr>
          <w:jc w:val="center"/>
        </w:trPr>
        <w:tc>
          <w:tcPr>
            <w:tcW w:w="654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b/>
                <w:sz w:val="28"/>
                <w:szCs w:val="28"/>
              </w:rPr>
              <w:t>2024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206" w:type="dxa"/>
            <w:vAlign w:val="center"/>
          </w:tcPr>
          <w:p w:rsidR="006F7C4C" w:rsidRDefault="006F7C4C">
            <w:pPr>
              <w:rPr>
                <w:rFonts w:cs="Times New Roman"/>
                <w:b/>
                <w:sz w:val="28"/>
                <w:szCs w:val="28"/>
                <w:lang w:val="uk-UA"/>
              </w:rPr>
            </w:pPr>
            <w:r>
              <w:rPr>
                <w:rFonts w:cs="Times New Roman"/>
                <w:b/>
                <w:sz w:val="28"/>
                <w:szCs w:val="28"/>
                <w:lang w:val="uk-UA"/>
              </w:rPr>
              <w:t xml:space="preserve">  </w:t>
            </w:r>
            <w:r w:rsidR="007133B8" w:rsidRPr="006F7C4C">
              <w:rPr>
                <w:rFonts w:cs="Times New Roman"/>
                <w:b/>
                <w:sz w:val="28"/>
                <w:szCs w:val="28"/>
              </w:rPr>
              <w:t xml:space="preserve">2026 </w:t>
            </w:r>
          </w:p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b/>
                <w:sz w:val="28"/>
                <w:szCs w:val="28"/>
              </w:rPr>
              <w:t>(3 міс.)</w:t>
            </w:r>
          </w:p>
        </w:tc>
      </w:tr>
      <w:tr w:rsidR="00620E2D" w:rsidRPr="006F7C4C" w:rsidTr="006F7C4C">
        <w:trPr>
          <w:jc w:val="center"/>
        </w:trPr>
        <w:tc>
          <w:tcPr>
            <w:tcW w:w="654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Усього штатних посад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479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476,25</w:t>
            </w:r>
          </w:p>
        </w:tc>
        <w:tc>
          <w:tcPr>
            <w:tcW w:w="120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476,25</w:t>
            </w:r>
          </w:p>
        </w:tc>
      </w:tr>
      <w:tr w:rsidR="00620E2D" w:rsidRPr="006F7C4C" w:rsidTr="006F7C4C">
        <w:trPr>
          <w:jc w:val="center"/>
        </w:trPr>
        <w:tc>
          <w:tcPr>
            <w:tcW w:w="654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Зайняті посади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415,25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405,0</w:t>
            </w:r>
          </w:p>
        </w:tc>
        <w:tc>
          <w:tcPr>
            <w:tcW w:w="120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402,25</w:t>
            </w:r>
          </w:p>
        </w:tc>
      </w:tr>
      <w:tr w:rsidR="00620E2D" w:rsidRPr="006F7C4C" w:rsidTr="006F7C4C">
        <w:trPr>
          <w:jc w:val="center"/>
        </w:trPr>
        <w:tc>
          <w:tcPr>
            <w:tcW w:w="654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Кількість фізичних осіб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383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383</w:t>
            </w:r>
          </w:p>
        </w:tc>
        <w:tc>
          <w:tcPr>
            <w:tcW w:w="120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379</w:t>
            </w:r>
          </w:p>
        </w:tc>
      </w:tr>
      <w:tr w:rsidR="00620E2D" w:rsidRPr="006F7C4C" w:rsidTr="006F7C4C">
        <w:trPr>
          <w:jc w:val="center"/>
        </w:trPr>
        <w:tc>
          <w:tcPr>
            <w:tcW w:w="654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Лікарі — штатні посади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98,5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101,75</w:t>
            </w:r>
          </w:p>
        </w:tc>
        <w:tc>
          <w:tcPr>
            <w:tcW w:w="120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101,75</w:t>
            </w:r>
          </w:p>
        </w:tc>
      </w:tr>
      <w:tr w:rsidR="00620E2D" w:rsidRPr="006F7C4C" w:rsidTr="006F7C4C">
        <w:trPr>
          <w:jc w:val="center"/>
        </w:trPr>
        <w:tc>
          <w:tcPr>
            <w:tcW w:w="654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Лікарі — зайняті посади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73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74,5</w:t>
            </w:r>
          </w:p>
        </w:tc>
        <w:tc>
          <w:tcPr>
            <w:tcW w:w="120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74,25</w:t>
            </w:r>
          </w:p>
        </w:tc>
      </w:tr>
      <w:tr w:rsidR="00620E2D" w:rsidRPr="006F7C4C" w:rsidTr="006F7C4C">
        <w:trPr>
          <w:jc w:val="center"/>
        </w:trPr>
        <w:tc>
          <w:tcPr>
            <w:tcW w:w="654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Лікарі — фізичні особи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58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64,0</w:t>
            </w:r>
          </w:p>
        </w:tc>
        <w:tc>
          <w:tcPr>
            <w:tcW w:w="120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64,0</w:t>
            </w:r>
          </w:p>
        </w:tc>
      </w:tr>
      <w:tr w:rsidR="00620E2D" w:rsidRPr="006F7C4C" w:rsidTr="006F7C4C">
        <w:trPr>
          <w:jc w:val="center"/>
        </w:trPr>
        <w:tc>
          <w:tcPr>
            <w:tcW w:w="654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Укомплектованість лікарями, %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79,5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86,0</w:t>
            </w:r>
          </w:p>
        </w:tc>
        <w:tc>
          <w:tcPr>
            <w:tcW w:w="120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86,2</w:t>
            </w:r>
          </w:p>
        </w:tc>
      </w:tr>
      <w:tr w:rsidR="00620E2D" w:rsidRPr="006F7C4C" w:rsidTr="006F7C4C">
        <w:trPr>
          <w:jc w:val="center"/>
        </w:trPr>
        <w:tc>
          <w:tcPr>
            <w:tcW w:w="654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Середні медичні працівники — штатні посади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175,75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173,5</w:t>
            </w:r>
          </w:p>
        </w:tc>
        <w:tc>
          <w:tcPr>
            <w:tcW w:w="120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173,5</w:t>
            </w:r>
          </w:p>
        </w:tc>
      </w:tr>
      <w:tr w:rsidR="00620E2D" w:rsidRPr="006F7C4C" w:rsidTr="006F7C4C">
        <w:trPr>
          <w:jc w:val="center"/>
        </w:trPr>
        <w:tc>
          <w:tcPr>
            <w:tcW w:w="654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Середні медичні працівники — зайняті посади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158,25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157,25</w:t>
            </w:r>
          </w:p>
        </w:tc>
        <w:tc>
          <w:tcPr>
            <w:tcW w:w="120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155,75</w:t>
            </w:r>
          </w:p>
        </w:tc>
      </w:tr>
      <w:tr w:rsidR="00620E2D" w:rsidRPr="006F7C4C" w:rsidTr="006F7C4C">
        <w:trPr>
          <w:jc w:val="center"/>
        </w:trPr>
        <w:tc>
          <w:tcPr>
            <w:tcW w:w="654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Середні медичні працівники — фізичні особи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152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148,0</w:t>
            </w:r>
          </w:p>
        </w:tc>
        <w:tc>
          <w:tcPr>
            <w:tcW w:w="120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145,0</w:t>
            </w:r>
          </w:p>
        </w:tc>
      </w:tr>
      <w:tr w:rsidR="00620E2D" w:rsidRPr="006F7C4C" w:rsidTr="006F7C4C">
        <w:trPr>
          <w:jc w:val="center"/>
        </w:trPr>
        <w:tc>
          <w:tcPr>
            <w:tcW w:w="654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Укомплектованість середніми медичними працівниками, %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96,1</w:t>
            </w:r>
          </w:p>
        </w:tc>
        <w:tc>
          <w:tcPr>
            <w:tcW w:w="11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94,1</w:t>
            </w:r>
          </w:p>
        </w:tc>
        <w:tc>
          <w:tcPr>
            <w:tcW w:w="120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93,1</w:t>
            </w:r>
          </w:p>
        </w:tc>
      </w:tr>
    </w:tbl>
    <w:p w:rsidR="006F7C4C" w:rsidRDefault="006F7C4C" w:rsidP="006F7C4C">
      <w:pPr>
        <w:spacing w:after="0" w:line="240" w:lineRule="auto"/>
        <w:ind w:firstLine="567"/>
        <w:rPr>
          <w:rFonts w:cs="Times New Roman"/>
          <w:sz w:val="28"/>
          <w:szCs w:val="28"/>
          <w:lang w:val="uk-UA"/>
        </w:rPr>
      </w:pPr>
    </w:p>
    <w:p w:rsidR="00620E2D" w:rsidRPr="006F7C4C" w:rsidRDefault="007133B8" w:rsidP="006F7C4C">
      <w:pPr>
        <w:spacing w:after="0" w:line="240" w:lineRule="auto"/>
        <w:ind w:firstLine="567"/>
        <w:rPr>
          <w:rFonts w:cs="Times New Roman"/>
          <w:sz w:val="28"/>
          <w:szCs w:val="28"/>
          <w:lang w:val="uk-UA"/>
        </w:rPr>
      </w:pPr>
      <w:r w:rsidRPr="006F7C4C">
        <w:rPr>
          <w:rFonts w:cs="Times New Roman"/>
          <w:sz w:val="28"/>
          <w:szCs w:val="28"/>
          <w:lang w:val="uk-UA"/>
        </w:rPr>
        <w:t>Кадрова політика передбачає оптимізацію штатної структури відповідно до потреб у медичних послугах, розвиток професійних компетентностей, залучення молодих фахівців, спеціалізацію наявних працівників для заміщення дефіцитних спеціальностей, покращення умов праці та розвиток системи мотивації.</w:t>
      </w:r>
    </w:p>
    <w:p w:rsidR="00620E2D" w:rsidRPr="006F7C4C" w:rsidRDefault="007133B8">
      <w:pPr>
        <w:pStyle w:val="1"/>
        <w:spacing w:before="200" w:after="120"/>
        <w:rPr>
          <w:rFonts w:ascii="Times New Roman" w:hAnsi="Times New Roman" w:cs="Times New Roman"/>
          <w:color w:val="000000" w:themeColor="text1"/>
          <w:lang w:val="ru-RU"/>
        </w:rPr>
      </w:pPr>
      <w:r w:rsidRPr="006F7C4C">
        <w:rPr>
          <w:rFonts w:ascii="Times New Roman" w:hAnsi="Times New Roman" w:cs="Times New Roman"/>
          <w:color w:val="000000" w:themeColor="text1"/>
          <w:lang w:val="ru-RU"/>
        </w:rPr>
        <w:t>6. Аналіз діяльності та основні медичні показники за 2024–2025 роки</w:t>
      </w: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6946"/>
        <w:gridCol w:w="1843"/>
        <w:gridCol w:w="1183"/>
      </w:tblGrid>
      <w:tr w:rsidR="00620E2D" w:rsidRPr="00FC3E62" w:rsidTr="006F7C4C">
        <w:trPr>
          <w:jc w:val="center"/>
        </w:trPr>
        <w:tc>
          <w:tcPr>
            <w:tcW w:w="694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184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b/>
                <w:sz w:val="28"/>
                <w:szCs w:val="28"/>
              </w:rPr>
              <w:t>2024</w:t>
            </w:r>
          </w:p>
        </w:tc>
        <w:tc>
          <w:tcPr>
            <w:tcW w:w="118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b/>
                <w:sz w:val="28"/>
                <w:szCs w:val="28"/>
              </w:rPr>
              <w:t>2025</w:t>
            </w:r>
          </w:p>
        </w:tc>
      </w:tr>
      <w:tr w:rsidR="00620E2D" w:rsidRPr="00FC3E62" w:rsidTr="006F7C4C">
        <w:trPr>
          <w:jc w:val="center"/>
        </w:trPr>
        <w:tc>
          <w:tcPr>
            <w:tcW w:w="694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Госпіталізовано, осіб</w:t>
            </w:r>
          </w:p>
        </w:tc>
        <w:tc>
          <w:tcPr>
            <w:tcW w:w="184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8 171</w:t>
            </w:r>
          </w:p>
        </w:tc>
        <w:tc>
          <w:tcPr>
            <w:tcW w:w="118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8 394</w:t>
            </w:r>
          </w:p>
        </w:tc>
      </w:tr>
      <w:tr w:rsidR="00620E2D" w:rsidRPr="00FC3E62" w:rsidTr="006F7C4C">
        <w:trPr>
          <w:jc w:val="center"/>
        </w:trPr>
        <w:tc>
          <w:tcPr>
            <w:tcW w:w="694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Виписано, осіб</w:t>
            </w:r>
          </w:p>
        </w:tc>
        <w:tc>
          <w:tcPr>
            <w:tcW w:w="184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8 016</w:t>
            </w:r>
          </w:p>
        </w:tc>
        <w:tc>
          <w:tcPr>
            <w:tcW w:w="118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8 141</w:t>
            </w:r>
          </w:p>
        </w:tc>
      </w:tr>
      <w:tr w:rsidR="00620E2D" w:rsidRPr="00FC3E62" w:rsidTr="006F7C4C">
        <w:trPr>
          <w:jc w:val="center"/>
        </w:trPr>
        <w:tc>
          <w:tcPr>
            <w:tcW w:w="694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lastRenderedPageBreak/>
              <w:t>Померло, осіб</w:t>
            </w:r>
          </w:p>
        </w:tc>
        <w:tc>
          <w:tcPr>
            <w:tcW w:w="184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156</w:t>
            </w:r>
          </w:p>
        </w:tc>
        <w:tc>
          <w:tcPr>
            <w:tcW w:w="118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154</w:t>
            </w:r>
          </w:p>
        </w:tc>
      </w:tr>
      <w:tr w:rsidR="00620E2D" w:rsidRPr="00FC3E62" w:rsidTr="006F7C4C">
        <w:trPr>
          <w:jc w:val="center"/>
        </w:trPr>
        <w:tc>
          <w:tcPr>
            <w:tcW w:w="694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Переведено в інші стаціонари, осіб</w:t>
            </w:r>
          </w:p>
        </w:tc>
        <w:tc>
          <w:tcPr>
            <w:tcW w:w="184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18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6</w:t>
            </w:r>
          </w:p>
        </w:tc>
      </w:tr>
      <w:tr w:rsidR="00620E2D" w:rsidRPr="00FC3E62" w:rsidTr="006F7C4C">
        <w:trPr>
          <w:jc w:val="center"/>
        </w:trPr>
        <w:tc>
          <w:tcPr>
            <w:tcW w:w="694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Кількість проведених ліжко-днів</w:t>
            </w:r>
          </w:p>
        </w:tc>
        <w:tc>
          <w:tcPr>
            <w:tcW w:w="184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59 770</w:t>
            </w:r>
          </w:p>
        </w:tc>
        <w:tc>
          <w:tcPr>
            <w:tcW w:w="118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67 182</w:t>
            </w:r>
          </w:p>
        </w:tc>
      </w:tr>
      <w:tr w:rsidR="00620E2D" w:rsidRPr="00FC3E62" w:rsidTr="006F7C4C">
        <w:trPr>
          <w:jc w:val="center"/>
        </w:trPr>
        <w:tc>
          <w:tcPr>
            <w:tcW w:w="694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Рівень госпіталізації на 1 000 населення</w:t>
            </w:r>
          </w:p>
        </w:tc>
        <w:tc>
          <w:tcPr>
            <w:tcW w:w="184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246,8</w:t>
            </w:r>
          </w:p>
        </w:tc>
        <w:tc>
          <w:tcPr>
            <w:tcW w:w="118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245,8</w:t>
            </w:r>
          </w:p>
        </w:tc>
      </w:tr>
      <w:tr w:rsidR="00620E2D" w:rsidRPr="00FC3E62" w:rsidTr="006F7C4C">
        <w:trPr>
          <w:jc w:val="center"/>
        </w:trPr>
        <w:tc>
          <w:tcPr>
            <w:tcW w:w="694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Зайнятість стаціонарного ліжка, дні</w:t>
            </w:r>
          </w:p>
        </w:tc>
        <w:tc>
          <w:tcPr>
            <w:tcW w:w="184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271,7</w:t>
            </w:r>
          </w:p>
        </w:tc>
        <w:tc>
          <w:tcPr>
            <w:tcW w:w="118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305,0</w:t>
            </w:r>
          </w:p>
        </w:tc>
      </w:tr>
      <w:tr w:rsidR="00620E2D" w:rsidRPr="00FC3E62" w:rsidTr="006F7C4C">
        <w:trPr>
          <w:jc w:val="center"/>
        </w:trPr>
        <w:tc>
          <w:tcPr>
            <w:tcW w:w="694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Обіг ліжка</w:t>
            </w:r>
          </w:p>
        </w:tc>
        <w:tc>
          <w:tcPr>
            <w:tcW w:w="184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36,2</w:t>
            </w:r>
          </w:p>
        </w:tc>
        <w:tc>
          <w:tcPr>
            <w:tcW w:w="118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37,9</w:t>
            </w:r>
          </w:p>
        </w:tc>
      </w:tr>
      <w:tr w:rsidR="00620E2D" w:rsidRPr="00FC3E62" w:rsidTr="006F7C4C">
        <w:trPr>
          <w:jc w:val="center"/>
        </w:trPr>
        <w:tc>
          <w:tcPr>
            <w:tcW w:w="694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Середня тривалість лікування, дні</w:t>
            </w:r>
          </w:p>
        </w:tc>
        <w:tc>
          <w:tcPr>
            <w:tcW w:w="184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7,5</w:t>
            </w:r>
          </w:p>
        </w:tc>
        <w:tc>
          <w:tcPr>
            <w:tcW w:w="118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8,1</w:t>
            </w:r>
          </w:p>
        </w:tc>
      </w:tr>
      <w:tr w:rsidR="00620E2D" w:rsidRPr="00FC3E62" w:rsidTr="006F7C4C">
        <w:trPr>
          <w:jc w:val="center"/>
        </w:trPr>
        <w:tc>
          <w:tcPr>
            <w:tcW w:w="694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Летальність, %</w:t>
            </w:r>
          </w:p>
        </w:tc>
        <w:tc>
          <w:tcPr>
            <w:tcW w:w="184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1,9</w:t>
            </w:r>
          </w:p>
        </w:tc>
        <w:tc>
          <w:tcPr>
            <w:tcW w:w="118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1,9</w:t>
            </w:r>
          </w:p>
        </w:tc>
      </w:tr>
      <w:tr w:rsidR="00620E2D" w:rsidRPr="00FC3E62" w:rsidTr="006F7C4C">
        <w:trPr>
          <w:jc w:val="center"/>
        </w:trPr>
        <w:tc>
          <w:tcPr>
            <w:tcW w:w="694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Виконання рекомендованого нормативу, %</w:t>
            </w:r>
          </w:p>
        </w:tc>
        <w:tc>
          <w:tcPr>
            <w:tcW w:w="184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81,5</w:t>
            </w:r>
          </w:p>
        </w:tc>
        <w:tc>
          <w:tcPr>
            <w:tcW w:w="1183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91,7</w:t>
            </w:r>
          </w:p>
        </w:tc>
      </w:tr>
    </w:tbl>
    <w:p w:rsidR="00620E2D" w:rsidRPr="00FC3E62" w:rsidRDefault="00620E2D" w:rsidP="006F7C4C">
      <w:pPr>
        <w:spacing w:after="0" w:line="240" w:lineRule="auto"/>
        <w:rPr>
          <w:rFonts w:cs="Times New Roman"/>
        </w:rPr>
      </w:pPr>
    </w:p>
    <w:p w:rsidR="00620E2D" w:rsidRPr="006F7C4C" w:rsidRDefault="007133B8" w:rsidP="006F7C4C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У 2025 році в стаціонарі проведено 3 016 операцій, з них 122 — екстрені. Після оперативних втручань померло 6 пацієнтів; післяопераційна летальність становила 0,2%. Хірургічна активність без абортів становила 99,9% проти 80,2% у 2024 році.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Психічні розлади: у 2025 році вперше зареєстровано 142 пацієнти; станом на 1 січня 2026 року на обліку перебувало 1 736 пацієнтів.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 xml:space="preserve">Онкологія: у 2025 році вперше зареєстровано 158 випадків злоякісних новоутворень; 20 пацієнтів (12,7%) взято на облік із </w:t>
      </w:r>
      <w:r w:rsidRPr="006F7C4C">
        <w:rPr>
          <w:rFonts w:cs="Times New Roman"/>
          <w:sz w:val="28"/>
          <w:szCs w:val="28"/>
        </w:rPr>
        <w:t>IV</w:t>
      </w:r>
      <w:r w:rsidRPr="006F7C4C">
        <w:rPr>
          <w:rFonts w:cs="Times New Roman"/>
          <w:sz w:val="28"/>
          <w:szCs w:val="28"/>
          <w:lang w:val="ru-RU"/>
        </w:rPr>
        <w:t xml:space="preserve"> стадією; померло 93 пацієнти.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Наркологія: у 2025 році вперше зареєстровано 26 пацієнтів, з них 25 — з алкогольною залежністю та 1 — з наркоманією.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ВІЛ-інфекція: за 2025 рік зареєстровано 130 пацієнтів, з них 8 — вперше в житті.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Лабораторія: у 2025 році виконано 398 367 досліджень; найбільшу питому вагу становили загальноклінічні (33,5%) та гематологічні (25,5%) дослідження.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</w:rPr>
      </w:pPr>
      <w:r w:rsidRPr="006F7C4C">
        <w:rPr>
          <w:rFonts w:cs="Times New Roman"/>
          <w:sz w:val="28"/>
          <w:szCs w:val="28"/>
        </w:rPr>
        <w:t>Функціональна діагностика: 14 726 досліджень.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</w:rPr>
      </w:pPr>
      <w:r w:rsidRPr="006F7C4C">
        <w:rPr>
          <w:rFonts w:cs="Times New Roman"/>
          <w:sz w:val="28"/>
          <w:szCs w:val="28"/>
        </w:rPr>
        <w:t>Ультразвукова діагностика: 20 371 дослідження.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</w:rPr>
      </w:pPr>
      <w:r w:rsidRPr="006F7C4C">
        <w:rPr>
          <w:rFonts w:cs="Times New Roman"/>
          <w:sz w:val="28"/>
          <w:szCs w:val="28"/>
        </w:rPr>
        <w:t>Ендоскопія: 1 385 досліджень.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</w:rPr>
      </w:pPr>
      <w:r w:rsidRPr="006F7C4C">
        <w:rPr>
          <w:rFonts w:cs="Times New Roman"/>
          <w:sz w:val="28"/>
          <w:szCs w:val="28"/>
        </w:rPr>
        <w:t>Рентгенологічна діагностика: 25 233 дослідження.</w:t>
      </w:r>
    </w:p>
    <w:p w:rsidR="00620E2D" w:rsidRPr="006F7C4C" w:rsidRDefault="007133B8" w:rsidP="006F7C4C">
      <w:pPr>
        <w:pStyle w:val="1"/>
        <w:spacing w:before="200" w:after="120"/>
        <w:jc w:val="both"/>
        <w:rPr>
          <w:rFonts w:ascii="Times New Roman" w:hAnsi="Times New Roman" w:cs="Times New Roman"/>
          <w:color w:val="auto"/>
        </w:rPr>
      </w:pPr>
      <w:r w:rsidRPr="006F7C4C">
        <w:rPr>
          <w:rFonts w:ascii="Times New Roman" w:hAnsi="Times New Roman" w:cs="Times New Roman"/>
          <w:color w:val="auto"/>
        </w:rPr>
        <w:t>7. SWOT-аналіз</w:t>
      </w: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4986"/>
        <w:gridCol w:w="4986"/>
      </w:tblGrid>
      <w:tr w:rsidR="00620E2D" w:rsidRPr="006F7C4C">
        <w:trPr>
          <w:jc w:val="center"/>
        </w:trPr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b/>
                <w:sz w:val="28"/>
                <w:szCs w:val="28"/>
              </w:rPr>
              <w:t>Сильні сторони</w:t>
            </w:r>
          </w:p>
        </w:tc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b/>
                <w:sz w:val="28"/>
                <w:szCs w:val="28"/>
              </w:rPr>
              <w:t>Слабкі сторони</w:t>
            </w:r>
          </w:p>
        </w:tc>
      </w:tr>
      <w:tr w:rsidR="00620E2D" w:rsidRPr="008110F2">
        <w:trPr>
          <w:jc w:val="center"/>
        </w:trPr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Автономність Підприємства та можливість самостійного управління в межах законодавства.</w:t>
            </w:r>
          </w:p>
        </w:tc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Недостатня кількість та частково застаріле лікувально-діагностичне обладнання.</w:t>
            </w:r>
          </w:p>
        </w:tc>
      </w:tr>
      <w:tr w:rsidR="00620E2D" w:rsidRPr="006F7C4C">
        <w:trPr>
          <w:jc w:val="center"/>
        </w:trPr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Різнопрофільність медичної допомоги.</w:t>
            </w:r>
          </w:p>
        </w:tc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Дефіцит окремих медичних спеціальностей.</w:t>
            </w:r>
          </w:p>
        </w:tc>
      </w:tr>
      <w:tr w:rsidR="00620E2D" w:rsidRPr="006F7C4C">
        <w:trPr>
          <w:jc w:val="center"/>
        </w:trPr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Наявність кадрового та організаційного потенціалу для розвитку.</w:t>
            </w:r>
          </w:p>
        </w:tc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Недостатня укомплектованість окремих посад.</w:t>
            </w:r>
          </w:p>
        </w:tc>
      </w:tr>
      <w:tr w:rsidR="00620E2D" w:rsidRPr="008110F2">
        <w:trPr>
          <w:jc w:val="center"/>
        </w:trPr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Наявність попиту населення на медичні послуги.</w:t>
            </w:r>
          </w:p>
        </w:tc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Потреба в подальшій цифровізації робочих місць і процесів.</w:t>
            </w:r>
          </w:p>
        </w:tc>
      </w:tr>
      <w:tr w:rsidR="00620E2D" w:rsidRPr="008110F2">
        <w:trPr>
          <w:jc w:val="center"/>
        </w:trPr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Потенціал для залучення додаткових ресурсів.</w:t>
            </w:r>
          </w:p>
        </w:tc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Недостатній житловий фонд для залучення медичних працівників.</w:t>
            </w:r>
          </w:p>
        </w:tc>
      </w:tr>
    </w:tbl>
    <w:p w:rsidR="00620E2D" w:rsidRPr="006F7C4C" w:rsidRDefault="00620E2D">
      <w:pPr>
        <w:rPr>
          <w:rFonts w:cs="Times New Roman"/>
          <w:sz w:val="28"/>
          <w:szCs w:val="28"/>
          <w:lang w:val="ru-RU"/>
        </w:rPr>
      </w:pP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4986"/>
        <w:gridCol w:w="4986"/>
      </w:tblGrid>
      <w:tr w:rsidR="00620E2D" w:rsidRPr="00FC3E62">
        <w:trPr>
          <w:jc w:val="center"/>
        </w:trPr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b/>
                <w:sz w:val="28"/>
                <w:szCs w:val="28"/>
              </w:rPr>
              <w:lastRenderedPageBreak/>
              <w:t>Можливості</w:t>
            </w:r>
          </w:p>
        </w:tc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b/>
                <w:sz w:val="28"/>
                <w:szCs w:val="28"/>
              </w:rPr>
              <w:t>Загрози</w:t>
            </w:r>
          </w:p>
        </w:tc>
      </w:tr>
      <w:tr w:rsidR="00620E2D" w:rsidRPr="008110F2">
        <w:trPr>
          <w:jc w:val="center"/>
        </w:trPr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Залучення грантових, благодійних та інших законних джерел фінансування.</w:t>
            </w:r>
          </w:p>
        </w:tc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Конкуренція за медичні кадри та пацієнтів.</w:t>
            </w:r>
          </w:p>
        </w:tc>
      </w:tr>
      <w:tr w:rsidR="00620E2D" w:rsidRPr="00FC3E62">
        <w:trPr>
          <w:jc w:val="center"/>
        </w:trPr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Залучення молодих фахівців через покращення умов праці.</w:t>
            </w:r>
          </w:p>
        </w:tc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Старіння кадрового складу.</w:t>
            </w:r>
          </w:p>
        </w:tc>
      </w:tr>
      <w:tr w:rsidR="00620E2D" w:rsidRPr="008110F2">
        <w:trPr>
          <w:jc w:val="center"/>
        </w:trPr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Розширення спектра медичних і платних послуг у межах законодавства.</w:t>
            </w:r>
          </w:p>
        </w:tc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Зростання вартості енергоносіїв, обладнання та витратних матеріалів.</w:t>
            </w:r>
          </w:p>
        </w:tc>
      </w:tr>
      <w:tr w:rsidR="00620E2D" w:rsidRPr="008110F2">
        <w:trPr>
          <w:jc w:val="center"/>
        </w:trPr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Підтримка органів місцевого самоврядування.</w:t>
            </w:r>
          </w:p>
        </w:tc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Недостатність фінансування місцевих програм охорони здоров’я.</w:t>
            </w:r>
          </w:p>
        </w:tc>
      </w:tr>
      <w:tr w:rsidR="00620E2D" w:rsidRPr="008110F2">
        <w:trPr>
          <w:jc w:val="center"/>
        </w:trPr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Партнерство з іншими закладами охорони здоров’я.</w:t>
            </w:r>
          </w:p>
        </w:tc>
        <w:tc>
          <w:tcPr>
            <w:tcW w:w="4986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Недостатня кількість молодшого медичного персоналу окремих спеціальностей.</w:t>
            </w:r>
          </w:p>
        </w:tc>
      </w:tr>
    </w:tbl>
    <w:p w:rsidR="00620E2D" w:rsidRPr="00FC3E62" w:rsidRDefault="00620E2D">
      <w:pPr>
        <w:rPr>
          <w:rFonts w:cs="Times New Roman"/>
          <w:lang w:val="ru-RU"/>
        </w:rPr>
      </w:pPr>
    </w:p>
    <w:p w:rsidR="00620E2D" w:rsidRPr="006F7C4C" w:rsidRDefault="007133B8" w:rsidP="006F7C4C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Ключовими факторами успіху є ефективне управління, дисципліна, стабільність ресурсного забезпечення, спільне бачення розвитку, підтримка зацікавлених сторін, ефективна комунікація, партнерська взаємодія та раціональне використання ресурсів.</w:t>
      </w:r>
    </w:p>
    <w:p w:rsidR="00620E2D" w:rsidRPr="006F7C4C" w:rsidRDefault="007133B8">
      <w:pPr>
        <w:pStyle w:val="1"/>
        <w:spacing w:before="200" w:after="120"/>
        <w:rPr>
          <w:rFonts w:ascii="Times New Roman" w:hAnsi="Times New Roman" w:cs="Times New Roman"/>
          <w:color w:val="auto"/>
          <w:lang w:val="ru-RU"/>
        </w:rPr>
      </w:pPr>
      <w:r w:rsidRPr="006F7C4C">
        <w:rPr>
          <w:rFonts w:ascii="Times New Roman" w:hAnsi="Times New Roman" w:cs="Times New Roman"/>
          <w:color w:val="auto"/>
          <w:lang w:val="ru-RU"/>
        </w:rPr>
        <w:t>8. Стратегічне бачення та пріоритети розвитку</w:t>
      </w:r>
    </w:p>
    <w:p w:rsidR="00620E2D" w:rsidRPr="006F7C4C" w:rsidRDefault="007133B8" w:rsidP="006F7C4C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Стратегічне бачення Підприємства на 2026–2028 роки полягає у формуванні сучасного, доступного, конкурентоспроможного та фінансово стійкого закладу охорони здоров’я, здатного забезпечувати потреби населення території обслуговування та розвиватися відповідно до вимог спроможної мережі закладів охорони здоров’я.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підвищення якості та доступності медичної допомоги;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розширення переліку медичних послуг відповідно до потреб населення;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розвиток невідкладної, хірургічної, акушерсько-гінекологічної, паліативної, реабілітаційної, психіатричної та діагностичної допомоги;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</w:rPr>
      </w:pPr>
      <w:r w:rsidRPr="006F7C4C">
        <w:rPr>
          <w:rFonts w:cs="Times New Roman"/>
          <w:sz w:val="28"/>
          <w:szCs w:val="28"/>
        </w:rPr>
        <w:t>оновлення матеріально-технічної бази;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</w:rPr>
      </w:pPr>
      <w:r w:rsidRPr="006F7C4C">
        <w:rPr>
          <w:rFonts w:cs="Times New Roman"/>
          <w:sz w:val="28"/>
          <w:szCs w:val="28"/>
        </w:rPr>
        <w:t>зміцнення кадрового потенціалу;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цифровізація медичних та управлінських процесів;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підвищення ефективності фінансового та ресурсного менеджменту;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забезпечення енергетичної та інфраструктурної стійкості;</w:t>
      </w:r>
    </w:p>
    <w:p w:rsidR="00620E2D" w:rsidRPr="006F7C4C" w:rsidRDefault="007133B8" w:rsidP="006F7C4C">
      <w:pPr>
        <w:pStyle w:val="a0"/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6F7C4C">
        <w:rPr>
          <w:rFonts w:cs="Times New Roman"/>
          <w:sz w:val="28"/>
          <w:szCs w:val="28"/>
          <w:lang w:val="ru-RU"/>
        </w:rPr>
        <w:t>розвиток партнерства з громадами та іншими закладами охорони здоров’я.</w:t>
      </w:r>
    </w:p>
    <w:p w:rsidR="00620E2D" w:rsidRPr="006F7C4C" w:rsidRDefault="007133B8">
      <w:pPr>
        <w:pStyle w:val="1"/>
        <w:spacing w:before="200" w:after="120"/>
        <w:rPr>
          <w:rFonts w:ascii="Times New Roman" w:hAnsi="Times New Roman" w:cs="Times New Roman"/>
          <w:color w:val="000000" w:themeColor="text1"/>
        </w:rPr>
      </w:pPr>
      <w:r w:rsidRPr="006F7C4C">
        <w:rPr>
          <w:rFonts w:ascii="Times New Roman" w:hAnsi="Times New Roman" w:cs="Times New Roman"/>
          <w:color w:val="000000" w:themeColor="text1"/>
        </w:rPr>
        <w:t>9. Перспективні медичні напрямки</w:t>
      </w: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7938"/>
        <w:gridCol w:w="2034"/>
      </w:tblGrid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b/>
                <w:sz w:val="28"/>
                <w:szCs w:val="28"/>
              </w:rPr>
              <w:t>Напрямок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b/>
                <w:sz w:val="28"/>
                <w:szCs w:val="28"/>
              </w:rPr>
              <w:t>Термін</w:t>
            </w:r>
          </w:p>
        </w:tc>
      </w:tr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Збільшення охоплення населення програмою «Скринінг 40+».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2026</w:t>
            </w:r>
          </w:p>
        </w:tc>
      </w:tr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Запровадження зубопротезування визначених категорій громадян.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серпень–вересень 2026</w:t>
            </w:r>
          </w:p>
        </w:tc>
      </w:tr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Відновлення напряму допомоги при гострому мозковому інсульті.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жовтень 2026</w:t>
            </w:r>
          </w:p>
        </w:tc>
      </w:tr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Відновлення напряму медичної допомоги при пологах.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грудень 2026 – січень 2027</w:t>
            </w:r>
          </w:p>
        </w:tc>
      </w:tr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lastRenderedPageBreak/>
              <w:t>Запровадження гемодіалізу в амбулаторних умовах.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січень 2027</w:t>
            </w:r>
          </w:p>
        </w:tc>
      </w:tr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Запровадження психосоціальної та психіатричної допомоги в межах центру ментального здоров’я.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січень 2027</w:t>
            </w:r>
          </w:p>
        </w:tc>
      </w:tr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>Збільшення обсягів хірургії одного дня.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2026</w:t>
            </w:r>
          </w:p>
        </w:tc>
      </w:tr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Розвиток регіонального лабораторного центру.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2026–2027</w:t>
            </w:r>
          </w:p>
        </w:tc>
      </w:tr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Збільшення кількості ліжок паліативної допомоги.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вересень 2026</w:t>
            </w:r>
          </w:p>
        </w:tc>
      </w:tr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Запровадження телемедичних послуг.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вересень 2026</w:t>
            </w:r>
          </w:p>
        </w:tc>
      </w:tr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Розширення ліцензованих напрямів діяльності.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2026–2028</w:t>
            </w:r>
          </w:p>
        </w:tc>
      </w:tr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Запровадження реабілітаційної допомоги.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2027</w:t>
            </w:r>
          </w:p>
        </w:tc>
      </w:tr>
      <w:tr w:rsidR="00620E2D" w:rsidRPr="006F7C4C" w:rsidTr="00947DCC">
        <w:trPr>
          <w:jc w:val="center"/>
        </w:trPr>
        <w:tc>
          <w:tcPr>
            <w:tcW w:w="7938" w:type="dxa"/>
            <w:vAlign w:val="center"/>
          </w:tcPr>
          <w:p w:rsidR="00620E2D" w:rsidRPr="006F7C4C" w:rsidRDefault="006C7A69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6F7C4C">
              <w:rPr>
                <w:rFonts w:cs="Times New Roman"/>
                <w:sz w:val="28"/>
                <w:szCs w:val="28"/>
                <w:lang w:val="ru-RU"/>
              </w:rPr>
              <w:t xml:space="preserve">Інтеграція </w:t>
            </w:r>
            <w:r w:rsidR="007133B8" w:rsidRPr="006F7C4C">
              <w:rPr>
                <w:rFonts w:cs="Times New Roman"/>
                <w:sz w:val="28"/>
                <w:szCs w:val="28"/>
                <w:lang w:val="ru-RU"/>
              </w:rPr>
              <w:t xml:space="preserve"> первинної медичної допомоги.</w:t>
            </w:r>
          </w:p>
        </w:tc>
        <w:tc>
          <w:tcPr>
            <w:tcW w:w="2034" w:type="dxa"/>
            <w:vAlign w:val="center"/>
          </w:tcPr>
          <w:p w:rsidR="00620E2D" w:rsidRPr="006F7C4C" w:rsidRDefault="007133B8">
            <w:pPr>
              <w:rPr>
                <w:rFonts w:cs="Times New Roman"/>
                <w:sz w:val="28"/>
                <w:szCs w:val="28"/>
              </w:rPr>
            </w:pPr>
            <w:r w:rsidRPr="006F7C4C">
              <w:rPr>
                <w:rFonts w:cs="Times New Roman"/>
                <w:sz w:val="28"/>
                <w:szCs w:val="28"/>
              </w:rPr>
              <w:t>2027</w:t>
            </w:r>
          </w:p>
        </w:tc>
      </w:tr>
    </w:tbl>
    <w:p w:rsidR="00620E2D" w:rsidRPr="00947DCC" w:rsidRDefault="007133B8">
      <w:pPr>
        <w:pStyle w:val="1"/>
        <w:spacing w:before="200" w:after="120"/>
        <w:rPr>
          <w:rFonts w:ascii="Times New Roman" w:hAnsi="Times New Roman" w:cs="Times New Roman"/>
          <w:color w:val="000000" w:themeColor="text1"/>
        </w:rPr>
      </w:pPr>
      <w:r w:rsidRPr="00947DCC">
        <w:rPr>
          <w:rFonts w:ascii="Times New Roman" w:hAnsi="Times New Roman" w:cs="Times New Roman"/>
          <w:color w:val="000000" w:themeColor="text1"/>
        </w:rPr>
        <w:t>10. Реалізація Програми медичних гарантій</w:t>
      </w:r>
    </w:p>
    <w:p w:rsidR="00620E2D" w:rsidRPr="00947DCC" w:rsidRDefault="007133B8" w:rsidP="00947DCC">
      <w:pPr>
        <w:spacing w:after="0" w:line="240" w:lineRule="auto"/>
        <w:ind w:firstLine="720"/>
        <w:rPr>
          <w:rFonts w:cs="Times New Roman"/>
          <w:sz w:val="28"/>
          <w:szCs w:val="28"/>
          <w:lang w:val="ru-RU"/>
        </w:rPr>
      </w:pPr>
      <w:r w:rsidRPr="00947DCC">
        <w:rPr>
          <w:rFonts w:cs="Times New Roman"/>
          <w:sz w:val="28"/>
          <w:szCs w:val="28"/>
          <w:lang w:val="ru-RU"/>
        </w:rPr>
        <w:t>У 2026 році Підприємством підписано 16 пакетів за Програмою медичних гарантій з Національною службою здоров’я України:</w:t>
      </w: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9405"/>
      </w:tblGrid>
      <w:tr w:rsidR="00620E2D" w:rsidRPr="00947DCC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405" w:type="dxa"/>
            <w:vAlign w:val="center"/>
          </w:tcPr>
          <w:p w:rsidR="00620E2D" w:rsidRPr="00947DCC" w:rsidRDefault="00947D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  <w:lang w:val="uk-UA"/>
              </w:rPr>
              <w:t xml:space="preserve">                                                                 </w:t>
            </w:r>
            <w:r w:rsidR="007133B8" w:rsidRPr="00947DCC">
              <w:rPr>
                <w:rFonts w:cs="Times New Roman"/>
                <w:b/>
                <w:sz w:val="28"/>
                <w:szCs w:val="28"/>
              </w:rPr>
              <w:t>Назва</w:t>
            </w:r>
          </w:p>
        </w:tc>
      </w:tr>
      <w:tr w:rsidR="00620E2D" w:rsidRPr="008110F2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947DCC">
              <w:rPr>
                <w:rFonts w:cs="Times New Roman"/>
                <w:sz w:val="28"/>
                <w:szCs w:val="28"/>
                <w:lang w:val="ru-RU"/>
              </w:rPr>
              <w:t>Хірургічні операції дорослим та дітям у стаціонарних умовах</w:t>
            </w:r>
          </w:p>
        </w:tc>
      </w:tr>
      <w:tr w:rsidR="00620E2D" w:rsidRPr="008110F2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947DCC">
              <w:rPr>
                <w:rFonts w:cs="Times New Roman"/>
                <w:sz w:val="28"/>
                <w:szCs w:val="28"/>
                <w:lang w:val="ru-RU"/>
              </w:rPr>
              <w:t>Стаціонарна допомога дорослим та дітям без проведення хірургічних операцій</w:t>
            </w:r>
          </w:p>
        </w:tc>
      </w:tr>
      <w:tr w:rsidR="00620E2D" w:rsidRPr="008110F2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947DCC">
              <w:rPr>
                <w:rFonts w:cs="Times New Roman"/>
                <w:sz w:val="28"/>
                <w:szCs w:val="28"/>
                <w:lang w:val="ru-RU"/>
              </w:rPr>
              <w:t>Профілактика, діагностика, спостереження та лікування в амбулаторних умовах</w:t>
            </w:r>
          </w:p>
        </w:tc>
      </w:tr>
      <w:tr w:rsidR="00620E2D" w:rsidRPr="00947DCC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Гістероскопія</w:t>
            </w:r>
          </w:p>
        </w:tc>
      </w:tr>
      <w:tr w:rsidR="00620E2D" w:rsidRPr="00947DCC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Езофагогастродуоденоскопія</w:t>
            </w:r>
          </w:p>
        </w:tc>
      </w:tr>
      <w:tr w:rsidR="00620E2D" w:rsidRPr="00947DCC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Колоноскопія</w:t>
            </w:r>
          </w:p>
        </w:tc>
      </w:tr>
      <w:tr w:rsidR="00620E2D" w:rsidRPr="00947DCC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21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Діагностика, лікування та супровід осіб із ВІЛ (та підозрою на ВІЛ)</w:t>
            </w:r>
          </w:p>
        </w:tc>
      </w:tr>
      <w:tr w:rsidR="00620E2D" w:rsidRPr="00947DCC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Лікування осіб із психічними та поведінковими розладами внаслідок вживання опіоїдів із використанням препаратів замісної підтримувальної терапії</w:t>
            </w:r>
          </w:p>
        </w:tc>
      </w:tr>
      <w:tr w:rsidR="00620E2D" w:rsidRPr="008110F2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23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947DCC">
              <w:rPr>
                <w:rFonts w:cs="Times New Roman"/>
                <w:sz w:val="28"/>
                <w:szCs w:val="28"/>
                <w:lang w:val="ru-RU"/>
              </w:rPr>
              <w:t>Стаціонарна паліативна медична допомога дорослим і дітям</w:t>
            </w:r>
          </w:p>
        </w:tc>
      </w:tr>
      <w:tr w:rsidR="00620E2D" w:rsidRPr="008110F2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34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947DCC">
              <w:rPr>
                <w:rFonts w:cs="Times New Roman"/>
                <w:sz w:val="28"/>
                <w:szCs w:val="28"/>
                <w:lang w:val="ru-RU"/>
              </w:rPr>
              <w:t>Стоматологічна допомога дорослим та дітям</w:t>
            </w:r>
          </w:p>
        </w:tc>
      </w:tr>
      <w:tr w:rsidR="00620E2D" w:rsidRPr="008110F2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35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947DCC">
              <w:rPr>
                <w:rFonts w:cs="Times New Roman"/>
                <w:sz w:val="28"/>
                <w:szCs w:val="28"/>
                <w:lang w:val="ru-RU"/>
              </w:rPr>
              <w:t>Ведення вагітності в амбулаторних умовах</w:t>
            </w:r>
          </w:p>
        </w:tc>
      </w:tr>
      <w:tr w:rsidR="00620E2D" w:rsidRPr="008110F2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47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947DCC">
              <w:rPr>
                <w:rFonts w:cs="Times New Roman"/>
                <w:sz w:val="28"/>
                <w:szCs w:val="28"/>
                <w:lang w:val="ru-RU"/>
              </w:rPr>
              <w:t>Хірургічні операції дорослим та дітям в умовах стаціонару одного дня</w:t>
            </w:r>
          </w:p>
        </w:tc>
      </w:tr>
      <w:tr w:rsidR="00620E2D" w:rsidRPr="008110F2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50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947DCC">
              <w:rPr>
                <w:rFonts w:cs="Times New Roman"/>
                <w:sz w:val="28"/>
                <w:szCs w:val="28"/>
                <w:lang w:val="ru-RU"/>
              </w:rPr>
              <w:t>Забезпечення кадрового потенціалу системи охорони здоров’я шляхом організації надання медичної допомоги із залученням лікарів-інтернів</w:t>
            </w:r>
          </w:p>
        </w:tc>
      </w:tr>
      <w:tr w:rsidR="00620E2D" w:rsidRPr="008110F2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60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947DCC">
              <w:rPr>
                <w:rFonts w:cs="Times New Roman"/>
                <w:sz w:val="28"/>
                <w:szCs w:val="28"/>
                <w:lang w:val="ru-RU"/>
              </w:rPr>
              <w:t>Медичний огляд осіб, який організовується територіальними центрами комплектування та соціальної підтримки</w:t>
            </w:r>
          </w:p>
        </w:tc>
      </w:tr>
      <w:tr w:rsidR="00620E2D" w:rsidRPr="00947DCC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67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Стоматологічна допомога окремій категорії осіб, які захищають/захищали незалежність, суверенітет та територіальну цілісність України (група послуг № 2)</w:t>
            </w:r>
          </w:p>
        </w:tc>
      </w:tr>
      <w:tr w:rsidR="00620E2D" w:rsidRPr="00947DCC" w:rsidTr="00947DCC">
        <w:trPr>
          <w:jc w:val="center"/>
        </w:trPr>
        <w:tc>
          <w:tcPr>
            <w:tcW w:w="567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—</w:t>
            </w:r>
          </w:p>
        </w:tc>
        <w:tc>
          <w:tcPr>
            <w:tcW w:w="9405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Скринінг здоров’я «Скринінг 40+»</w:t>
            </w:r>
          </w:p>
        </w:tc>
      </w:tr>
    </w:tbl>
    <w:p w:rsidR="00947DCC" w:rsidRDefault="00947DCC" w:rsidP="00947DCC">
      <w:pPr>
        <w:spacing w:after="120"/>
        <w:ind w:firstLine="567"/>
        <w:jc w:val="both"/>
        <w:rPr>
          <w:rFonts w:cs="Times New Roman"/>
          <w:sz w:val="28"/>
          <w:szCs w:val="28"/>
          <w:lang w:val="uk-UA"/>
        </w:rPr>
      </w:pPr>
    </w:p>
    <w:p w:rsidR="00620E2D" w:rsidRPr="00947DCC" w:rsidRDefault="007133B8" w:rsidP="00947DCC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947DCC">
        <w:rPr>
          <w:rFonts w:cs="Times New Roman"/>
          <w:sz w:val="28"/>
          <w:szCs w:val="28"/>
          <w:lang w:val="ru-RU"/>
        </w:rPr>
        <w:t>Підприємство організовує медичну допомогу відповідно до умов укладених договорів, галузевих стандартів, клінічних протоколів, табелів матеріально-технічного оснащення та інших чинних нормативно-правових актів.</w:t>
      </w:r>
    </w:p>
    <w:p w:rsidR="00620E2D" w:rsidRPr="00947DCC" w:rsidRDefault="007133B8">
      <w:pPr>
        <w:pStyle w:val="1"/>
        <w:spacing w:before="200" w:after="120"/>
        <w:rPr>
          <w:rFonts w:ascii="Times New Roman" w:hAnsi="Times New Roman" w:cs="Times New Roman"/>
          <w:color w:val="auto"/>
        </w:rPr>
      </w:pPr>
      <w:r w:rsidRPr="00947DCC">
        <w:rPr>
          <w:rFonts w:ascii="Times New Roman" w:hAnsi="Times New Roman" w:cs="Times New Roman"/>
          <w:color w:val="auto"/>
        </w:rPr>
        <w:lastRenderedPageBreak/>
        <w:t>11. Фінансово-економічна діяльність</w:t>
      </w: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1560"/>
        <w:gridCol w:w="1559"/>
        <w:gridCol w:w="1750"/>
      </w:tblGrid>
      <w:tr w:rsidR="00620E2D" w:rsidRPr="00947DCC" w:rsidTr="00947DCC">
        <w:trPr>
          <w:jc w:val="center"/>
        </w:trPr>
        <w:tc>
          <w:tcPr>
            <w:tcW w:w="5103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Показник, тис. грн</w:t>
            </w:r>
          </w:p>
        </w:tc>
        <w:tc>
          <w:tcPr>
            <w:tcW w:w="156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2024</w:t>
            </w:r>
          </w:p>
        </w:tc>
        <w:tc>
          <w:tcPr>
            <w:tcW w:w="155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75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2026 (3 міс.)</w:t>
            </w:r>
          </w:p>
        </w:tc>
      </w:tr>
      <w:tr w:rsidR="00620E2D" w:rsidRPr="00947DCC" w:rsidTr="00947DCC">
        <w:trPr>
          <w:jc w:val="center"/>
        </w:trPr>
        <w:tc>
          <w:tcPr>
            <w:tcW w:w="5103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Доходи — усього</w:t>
            </w:r>
          </w:p>
        </w:tc>
        <w:tc>
          <w:tcPr>
            <w:tcW w:w="156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101 255,1</w:t>
            </w:r>
          </w:p>
        </w:tc>
        <w:tc>
          <w:tcPr>
            <w:tcW w:w="155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102 280,0</w:t>
            </w:r>
          </w:p>
        </w:tc>
        <w:tc>
          <w:tcPr>
            <w:tcW w:w="175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25 417,5</w:t>
            </w:r>
          </w:p>
        </w:tc>
      </w:tr>
      <w:tr w:rsidR="00620E2D" w:rsidRPr="00947DCC" w:rsidTr="00947DCC">
        <w:trPr>
          <w:jc w:val="center"/>
        </w:trPr>
        <w:tc>
          <w:tcPr>
            <w:tcW w:w="5103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НСЗУ</w:t>
            </w:r>
          </w:p>
        </w:tc>
        <w:tc>
          <w:tcPr>
            <w:tcW w:w="156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72 693,3</w:t>
            </w:r>
          </w:p>
        </w:tc>
        <w:tc>
          <w:tcPr>
            <w:tcW w:w="155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73 570,1</w:t>
            </w:r>
          </w:p>
        </w:tc>
        <w:tc>
          <w:tcPr>
            <w:tcW w:w="175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19 805,3</w:t>
            </w:r>
          </w:p>
        </w:tc>
      </w:tr>
      <w:tr w:rsidR="00620E2D" w:rsidRPr="00947DCC" w:rsidTr="00947DCC">
        <w:trPr>
          <w:jc w:val="center"/>
        </w:trPr>
        <w:tc>
          <w:tcPr>
            <w:tcW w:w="5103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Програма підтримки</w:t>
            </w:r>
          </w:p>
        </w:tc>
        <w:tc>
          <w:tcPr>
            <w:tcW w:w="156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17 823,5</w:t>
            </w:r>
          </w:p>
        </w:tc>
        <w:tc>
          <w:tcPr>
            <w:tcW w:w="155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17 931,2</w:t>
            </w:r>
          </w:p>
        </w:tc>
        <w:tc>
          <w:tcPr>
            <w:tcW w:w="175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3 383,4</w:t>
            </w:r>
          </w:p>
        </w:tc>
      </w:tr>
      <w:tr w:rsidR="00620E2D" w:rsidRPr="00947DCC" w:rsidTr="00947DCC">
        <w:trPr>
          <w:jc w:val="center"/>
        </w:trPr>
        <w:tc>
          <w:tcPr>
            <w:tcW w:w="5103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Власні кошти</w:t>
            </w:r>
          </w:p>
        </w:tc>
        <w:tc>
          <w:tcPr>
            <w:tcW w:w="156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4 059,1</w:t>
            </w:r>
          </w:p>
        </w:tc>
        <w:tc>
          <w:tcPr>
            <w:tcW w:w="155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7 134,1</w:t>
            </w:r>
          </w:p>
        </w:tc>
        <w:tc>
          <w:tcPr>
            <w:tcW w:w="175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1 568,1</w:t>
            </w:r>
          </w:p>
        </w:tc>
      </w:tr>
      <w:tr w:rsidR="00620E2D" w:rsidRPr="00947DCC" w:rsidTr="00947DCC">
        <w:trPr>
          <w:jc w:val="center"/>
        </w:trPr>
        <w:tc>
          <w:tcPr>
            <w:tcW w:w="5103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ЦП та благодійна допомога</w:t>
            </w:r>
          </w:p>
        </w:tc>
        <w:tc>
          <w:tcPr>
            <w:tcW w:w="156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6 679,2</w:t>
            </w:r>
          </w:p>
        </w:tc>
        <w:tc>
          <w:tcPr>
            <w:tcW w:w="155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3 644,6</w:t>
            </w:r>
          </w:p>
        </w:tc>
        <w:tc>
          <w:tcPr>
            <w:tcW w:w="175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660,7</w:t>
            </w:r>
          </w:p>
        </w:tc>
      </w:tr>
      <w:tr w:rsidR="00620E2D" w:rsidRPr="00947DCC" w:rsidTr="00947DCC">
        <w:trPr>
          <w:jc w:val="center"/>
        </w:trPr>
        <w:tc>
          <w:tcPr>
            <w:tcW w:w="5103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Витрати — усього</w:t>
            </w:r>
          </w:p>
        </w:tc>
        <w:tc>
          <w:tcPr>
            <w:tcW w:w="156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93 411,1</w:t>
            </w:r>
          </w:p>
        </w:tc>
        <w:tc>
          <w:tcPr>
            <w:tcW w:w="155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100 011,4</w:t>
            </w:r>
          </w:p>
        </w:tc>
        <w:tc>
          <w:tcPr>
            <w:tcW w:w="175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26 063,1</w:t>
            </w:r>
          </w:p>
        </w:tc>
      </w:tr>
      <w:tr w:rsidR="00620E2D" w:rsidRPr="00947DCC" w:rsidTr="00947DCC">
        <w:trPr>
          <w:jc w:val="center"/>
        </w:trPr>
        <w:tc>
          <w:tcPr>
            <w:tcW w:w="5103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Оплата праці</w:t>
            </w:r>
          </w:p>
        </w:tc>
        <w:tc>
          <w:tcPr>
            <w:tcW w:w="156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67 132,8</w:t>
            </w:r>
          </w:p>
        </w:tc>
        <w:tc>
          <w:tcPr>
            <w:tcW w:w="155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72 269,6</w:t>
            </w:r>
          </w:p>
        </w:tc>
        <w:tc>
          <w:tcPr>
            <w:tcW w:w="175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19 227,3</w:t>
            </w:r>
          </w:p>
        </w:tc>
      </w:tr>
      <w:tr w:rsidR="00620E2D" w:rsidRPr="00947DCC" w:rsidTr="00947DCC">
        <w:trPr>
          <w:jc w:val="center"/>
        </w:trPr>
        <w:tc>
          <w:tcPr>
            <w:tcW w:w="5103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Матеріальні затрати</w:t>
            </w:r>
          </w:p>
        </w:tc>
        <w:tc>
          <w:tcPr>
            <w:tcW w:w="156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6 219,7</w:t>
            </w:r>
          </w:p>
        </w:tc>
        <w:tc>
          <w:tcPr>
            <w:tcW w:w="155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6 056,0</w:t>
            </w:r>
          </w:p>
        </w:tc>
        <w:tc>
          <w:tcPr>
            <w:tcW w:w="175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1 805,2</w:t>
            </w:r>
          </w:p>
        </w:tc>
      </w:tr>
      <w:tr w:rsidR="00620E2D" w:rsidRPr="00947DCC" w:rsidTr="00947DCC">
        <w:trPr>
          <w:jc w:val="center"/>
        </w:trPr>
        <w:tc>
          <w:tcPr>
            <w:tcW w:w="5103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Інші операційні витрати</w:t>
            </w:r>
          </w:p>
        </w:tc>
        <w:tc>
          <w:tcPr>
            <w:tcW w:w="156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18 008,8</w:t>
            </w:r>
          </w:p>
        </w:tc>
        <w:tc>
          <w:tcPr>
            <w:tcW w:w="155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21 185,9</w:t>
            </w:r>
          </w:p>
        </w:tc>
        <w:tc>
          <w:tcPr>
            <w:tcW w:w="175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5 030,6</w:t>
            </w:r>
          </w:p>
        </w:tc>
      </w:tr>
      <w:tr w:rsidR="00620E2D" w:rsidRPr="00947DCC" w:rsidTr="00947DCC">
        <w:trPr>
          <w:jc w:val="center"/>
        </w:trPr>
        <w:tc>
          <w:tcPr>
            <w:tcW w:w="5103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Капітальні інвестиції</w:t>
            </w:r>
          </w:p>
        </w:tc>
        <w:tc>
          <w:tcPr>
            <w:tcW w:w="156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2 049,8</w:t>
            </w:r>
          </w:p>
        </w:tc>
        <w:tc>
          <w:tcPr>
            <w:tcW w:w="155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499,9</w:t>
            </w:r>
          </w:p>
        </w:tc>
        <w:tc>
          <w:tcPr>
            <w:tcW w:w="175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—</w:t>
            </w:r>
          </w:p>
        </w:tc>
      </w:tr>
    </w:tbl>
    <w:p w:rsidR="00947DCC" w:rsidRDefault="00947DCC" w:rsidP="00947DCC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uk-UA"/>
        </w:rPr>
      </w:pPr>
    </w:p>
    <w:p w:rsidR="00620E2D" w:rsidRPr="00947DCC" w:rsidRDefault="007133B8" w:rsidP="00947DCC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947DCC">
        <w:rPr>
          <w:rFonts w:cs="Times New Roman"/>
          <w:sz w:val="28"/>
          <w:szCs w:val="28"/>
          <w:lang w:val="ru-RU"/>
        </w:rPr>
        <w:t>Плановий бюджет Підприємства на 2024 рік становив 127 403,8 тис. грн; фактичні надходження — 101 255,1 тис. грн; видатки — 93 411,1 тис. грн. Кредиторська заборгованість станом на 01.01.2025 відсутня.</w:t>
      </w:r>
    </w:p>
    <w:p w:rsidR="00620E2D" w:rsidRPr="00947DCC" w:rsidRDefault="007133B8" w:rsidP="00947DCC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947DCC">
        <w:rPr>
          <w:rFonts w:cs="Times New Roman"/>
          <w:sz w:val="28"/>
          <w:szCs w:val="28"/>
          <w:lang w:val="ru-RU"/>
        </w:rPr>
        <w:t>Плановий бюджет на 2025 рік становив 120 614,6 тис. грн; фактичні надходження — 102 280,0 тис. грн; видатки — 100 011,4 тис. грн. Кредиторська заборгованість станом на 01.01.2026 відсутня.</w:t>
      </w:r>
    </w:p>
    <w:p w:rsidR="00620E2D" w:rsidRPr="00947DCC" w:rsidRDefault="007133B8">
      <w:pPr>
        <w:pStyle w:val="21"/>
        <w:spacing w:after="12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947DCC">
        <w:rPr>
          <w:rFonts w:ascii="Times New Roman" w:hAnsi="Times New Roman" w:cs="Times New Roman"/>
          <w:color w:val="auto"/>
          <w:sz w:val="28"/>
          <w:szCs w:val="28"/>
          <w:lang w:val="ru-RU"/>
        </w:rPr>
        <w:t>11.1. Платні послуги та додаткові джерела фінансування</w:t>
      </w: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5529"/>
        <w:gridCol w:w="1134"/>
        <w:gridCol w:w="1559"/>
        <w:gridCol w:w="1750"/>
      </w:tblGrid>
      <w:tr w:rsidR="00620E2D" w:rsidRPr="00947DCC" w:rsidTr="00947DCC">
        <w:trPr>
          <w:jc w:val="center"/>
        </w:trPr>
        <w:tc>
          <w:tcPr>
            <w:tcW w:w="552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1134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2024</w:t>
            </w:r>
          </w:p>
        </w:tc>
        <w:tc>
          <w:tcPr>
            <w:tcW w:w="155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75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2026 (3 міс.)</w:t>
            </w:r>
          </w:p>
        </w:tc>
      </w:tr>
      <w:tr w:rsidR="00620E2D" w:rsidRPr="00947DCC" w:rsidTr="00947DCC">
        <w:trPr>
          <w:jc w:val="center"/>
        </w:trPr>
        <w:tc>
          <w:tcPr>
            <w:tcW w:w="552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Платні послуги, тис. грн</w:t>
            </w:r>
          </w:p>
        </w:tc>
        <w:tc>
          <w:tcPr>
            <w:tcW w:w="1134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4 059,1</w:t>
            </w:r>
          </w:p>
        </w:tc>
        <w:tc>
          <w:tcPr>
            <w:tcW w:w="155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7 134,1</w:t>
            </w:r>
          </w:p>
        </w:tc>
        <w:tc>
          <w:tcPr>
            <w:tcW w:w="1750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1 568,1</w:t>
            </w:r>
          </w:p>
        </w:tc>
      </w:tr>
    </w:tbl>
    <w:p w:rsidR="00620E2D" w:rsidRPr="00947DCC" w:rsidRDefault="00620E2D">
      <w:pPr>
        <w:rPr>
          <w:rFonts w:cs="Times New Roman"/>
          <w:sz w:val="28"/>
          <w:szCs w:val="28"/>
        </w:rPr>
      </w:pPr>
    </w:p>
    <w:p w:rsidR="00620E2D" w:rsidRPr="00947DCC" w:rsidRDefault="007133B8" w:rsidP="00947DCC">
      <w:pPr>
        <w:pStyle w:val="a0"/>
        <w:spacing w:after="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947DCC">
        <w:rPr>
          <w:rFonts w:cs="Times New Roman"/>
          <w:sz w:val="28"/>
          <w:szCs w:val="28"/>
          <w:lang w:val="ru-RU"/>
        </w:rPr>
        <w:t>збільшення надходжень від платних послуг без погіршення доступності гарантованої медичної допомоги;</w:t>
      </w:r>
    </w:p>
    <w:p w:rsidR="00620E2D" w:rsidRPr="00947DCC" w:rsidRDefault="007133B8" w:rsidP="00947DCC">
      <w:pPr>
        <w:pStyle w:val="a0"/>
        <w:spacing w:after="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947DCC">
        <w:rPr>
          <w:rFonts w:cs="Times New Roman"/>
          <w:sz w:val="28"/>
          <w:szCs w:val="28"/>
          <w:lang w:val="ru-RU"/>
        </w:rPr>
        <w:t>залучення грантових та благодійних коштів;</w:t>
      </w:r>
    </w:p>
    <w:p w:rsidR="00620E2D" w:rsidRPr="00947DCC" w:rsidRDefault="007133B8" w:rsidP="00947DCC">
      <w:pPr>
        <w:pStyle w:val="a0"/>
        <w:spacing w:after="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947DCC">
        <w:rPr>
          <w:rFonts w:cs="Times New Roman"/>
          <w:sz w:val="28"/>
          <w:szCs w:val="28"/>
          <w:lang w:val="ru-RU"/>
        </w:rPr>
        <w:t>залучення коштів добровільного медичного страхування та оплати послуг за договорами;</w:t>
      </w:r>
    </w:p>
    <w:p w:rsidR="00620E2D" w:rsidRPr="00947DCC" w:rsidRDefault="007133B8" w:rsidP="00947DCC">
      <w:pPr>
        <w:pStyle w:val="a0"/>
        <w:spacing w:after="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947DCC">
        <w:rPr>
          <w:rFonts w:cs="Times New Roman"/>
          <w:sz w:val="28"/>
          <w:szCs w:val="28"/>
          <w:lang w:val="ru-RU"/>
        </w:rPr>
        <w:t>використання доходів від передачі в оренду нерухомого майна у встановленому законодавством порядку;</w:t>
      </w:r>
    </w:p>
    <w:p w:rsidR="00620E2D" w:rsidRPr="00947DCC" w:rsidRDefault="007133B8" w:rsidP="00947DCC">
      <w:pPr>
        <w:pStyle w:val="a0"/>
        <w:spacing w:after="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947DCC">
        <w:rPr>
          <w:rFonts w:cs="Times New Roman"/>
          <w:sz w:val="28"/>
          <w:szCs w:val="28"/>
          <w:lang w:val="ru-RU"/>
        </w:rPr>
        <w:t>розвиток сервісних послуг для пацієнтів, зокрема палат покращеного сервісу, за наявності правових підстав;</w:t>
      </w:r>
    </w:p>
    <w:p w:rsidR="00620E2D" w:rsidRPr="00FC3E62" w:rsidRDefault="007133B8" w:rsidP="00947DCC">
      <w:pPr>
        <w:pStyle w:val="a0"/>
        <w:spacing w:after="0" w:line="240" w:lineRule="auto"/>
        <w:ind w:left="357" w:hanging="357"/>
        <w:jc w:val="both"/>
        <w:rPr>
          <w:rFonts w:cs="Times New Roman"/>
          <w:lang w:val="ru-RU"/>
        </w:rPr>
      </w:pPr>
      <w:r w:rsidRPr="00947DCC">
        <w:rPr>
          <w:rFonts w:cs="Times New Roman"/>
          <w:sz w:val="28"/>
          <w:szCs w:val="28"/>
          <w:lang w:val="ru-RU"/>
        </w:rPr>
        <w:t>підвищення ефективності використання приміщень, обладнання та інших ресурсів</w:t>
      </w:r>
      <w:r w:rsidRPr="00FC3E62">
        <w:rPr>
          <w:rFonts w:cs="Times New Roman"/>
          <w:lang w:val="ru-RU"/>
        </w:rPr>
        <w:t>.</w:t>
      </w:r>
    </w:p>
    <w:p w:rsidR="00620E2D" w:rsidRPr="00947DCC" w:rsidRDefault="007133B8">
      <w:pPr>
        <w:pStyle w:val="1"/>
        <w:spacing w:before="200" w:after="120"/>
        <w:rPr>
          <w:rFonts w:ascii="Times New Roman" w:hAnsi="Times New Roman" w:cs="Times New Roman"/>
          <w:color w:val="auto"/>
          <w:lang w:val="ru-RU"/>
        </w:rPr>
      </w:pPr>
      <w:r w:rsidRPr="00947DCC">
        <w:rPr>
          <w:rFonts w:ascii="Times New Roman" w:hAnsi="Times New Roman" w:cs="Times New Roman"/>
          <w:color w:val="auto"/>
          <w:lang w:val="ru-RU"/>
        </w:rPr>
        <w:t>12. Капітальні інвестиції та розвиток матеріально-технічної бази</w:t>
      </w:r>
    </w:p>
    <w:tbl>
      <w:tblPr>
        <w:tblStyle w:val="af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3969"/>
        <w:gridCol w:w="2551"/>
        <w:gridCol w:w="2268"/>
        <w:gridCol w:w="1009"/>
      </w:tblGrid>
      <w:tr w:rsidR="00620E2D" w:rsidRPr="00FC3E62" w:rsidTr="00B805BE">
        <w:trPr>
          <w:trHeight w:val="490"/>
          <w:jc w:val="center"/>
        </w:trPr>
        <w:tc>
          <w:tcPr>
            <w:tcW w:w="392" w:type="dxa"/>
            <w:vAlign w:val="center"/>
          </w:tcPr>
          <w:p w:rsidR="00947DCC" w:rsidRDefault="00947DCC">
            <w:pPr>
              <w:rPr>
                <w:rFonts w:cs="Times New Roman"/>
                <w:b/>
                <w:sz w:val="28"/>
                <w:szCs w:val="28"/>
                <w:lang w:val="uk-UA"/>
              </w:rPr>
            </w:pPr>
          </w:p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Захід</w:t>
            </w:r>
          </w:p>
        </w:tc>
        <w:tc>
          <w:tcPr>
            <w:tcW w:w="2551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2268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2027</w:t>
            </w:r>
          </w:p>
        </w:tc>
        <w:tc>
          <w:tcPr>
            <w:tcW w:w="100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b/>
                <w:sz w:val="28"/>
                <w:szCs w:val="28"/>
              </w:rPr>
              <w:t>2028</w:t>
            </w:r>
          </w:p>
        </w:tc>
      </w:tr>
      <w:tr w:rsidR="00620E2D" w:rsidRPr="00FC3E62" w:rsidTr="00947DCC">
        <w:trPr>
          <w:jc w:val="center"/>
        </w:trPr>
        <w:tc>
          <w:tcPr>
            <w:tcW w:w="392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Ремонт акушерсько-гінекологічного відділення</w:t>
            </w:r>
          </w:p>
        </w:tc>
        <w:tc>
          <w:tcPr>
            <w:tcW w:w="2551" w:type="dxa"/>
            <w:vAlign w:val="center"/>
          </w:tcPr>
          <w:p w:rsidR="00620E2D" w:rsidRPr="00947DCC" w:rsidRDefault="007133B8" w:rsidP="00947DCC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947DCC">
              <w:rPr>
                <w:rFonts w:cs="Times New Roman"/>
                <w:sz w:val="28"/>
                <w:szCs w:val="28"/>
                <w:lang w:val="ru-RU"/>
              </w:rPr>
              <w:t>2 палати для партнерських пологів</w:t>
            </w:r>
            <w:r w:rsidR="00947DCC">
              <w:rPr>
                <w:rFonts w:cs="Times New Roman"/>
                <w:sz w:val="28"/>
                <w:szCs w:val="28"/>
                <w:lang w:val="ru-RU"/>
              </w:rPr>
              <w:t>-</w:t>
            </w:r>
            <w:r w:rsidRPr="00947DCC">
              <w:rPr>
                <w:rFonts w:cs="Times New Roman"/>
                <w:sz w:val="28"/>
                <w:szCs w:val="28"/>
                <w:lang w:val="ru-RU"/>
              </w:rPr>
              <w:t>150 000 грн</w:t>
            </w:r>
          </w:p>
        </w:tc>
        <w:tc>
          <w:tcPr>
            <w:tcW w:w="2268" w:type="dxa"/>
            <w:vAlign w:val="center"/>
          </w:tcPr>
          <w:p w:rsidR="00620E2D" w:rsidRPr="00947DCC" w:rsidRDefault="007133B8" w:rsidP="00947DCC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 xml:space="preserve">Обладнання </w:t>
            </w:r>
            <w:r w:rsidR="00947DCC">
              <w:rPr>
                <w:rFonts w:cs="Times New Roman"/>
                <w:sz w:val="28"/>
                <w:szCs w:val="28"/>
                <w:lang w:val="uk-UA"/>
              </w:rPr>
              <w:t>-</w:t>
            </w:r>
            <w:r w:rsidRPr="00947DCC">
              <w:rPr>
                <w:rFonts w:cs="Times New Roman"/>
                <w:sz w:val="28"/>
                <w:szCs w:val="28"/>
              </w:rPr>
              <w:t>500 000 грн</w:t>
            </w:r>
          </w:p>
        </w:tc>
        <w:tc>
          <w:tcPr>
            <w:tcW w:w="100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—</w:t>
            </w:r>
          </w:p>
        </w:tc>
      </w:tr>
      <w:tr w:rsidR="00620E2D" w:rsidRPr="00FC3E62" w:rsidTr="00947DCC">
        <w:trPr>
          <w:jc w:val="center"/>
        </w:trPr>
        <w:tc>
          <w:tcPr>
            <w:tcW w:w="392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6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Облаштування діалізного відділення</w:t>
            </w:r>
          </w:p>
        </w:tc>
        <w:tc>
          <w:tcPr>
            <w:tcW w:w="2551" w:type="dxa"/>
            <w:vAlign w:val="center"/>
          </w:tcPr>
          <w:p w:rsidR="00620E2D" w:rsidRPr="00947DCC" w:rsidRDefault="00947D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 xml:space="preserve">                 </w:t>
            </w:r>
            <w:r w:rsidR="007133B8" w:rsidRPr="00947DCC">
              <w:rPr>
                <w:rFonts w:cs="Times New Roman"/>
                <w:sz w:val="28"/>
                <w:szCs w:val="28"/>
              </w:rPr>
              <w:t>—</w:t>
            </w:r>
          </w:p>
        </w:tc>
        <w:tc>
          <w:tcPr>
            <w:tcW w:w="2268" w:type="dxa"/>
            <w:vAlign w:val="center"/>
          </w:tcPr>
          <w:p w:rsidR="00947DCC" w:rsidRDefault="007133B8" w:rsidP="00947DCC">
            <w:pPr>
              <w:rPr>
                <w:rFonts w:cs="Times New Roman"/>
                <w:sz w:val="28"/>
                <w:szCs w:val="28"/>
                <w:lang w:val="uk-UA"/>
              </w:rPr>
            </w:pPr>
            <w:r w:rsidRPr="00947DCC">
              <w:rPr>
                <w:rFonts w:cs="Times New Roman"/>
                <w:sz w:val="28"/>
                <w:szCs w:val="28"/>
              </w:rPr>
              <w:t xml:space="preserve">Обладнання </w:t>
            </w:r>
            <w:r w:rsidR="00947DCC">
              <w:rPr>
                <w:rFonts w:cs="Times New Roman"/>
                <w:sz w:val="28"/>
                <w:szCs w:val="28"/>
                <w:lang w:val="uk-UA"/>
              </w:rPr>
              <w:t>–</w:t>
            </w:r>
          </w:p>
          <w:p w:rsidR="00620E2D" w:rsidRPr="00947DCC" w:rsidRDefault="007133B8" w:rsidP="00947DCC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5 600 000 грн</w:t>
            </w:r>
          </w:p>
        </w:tc>
        <w:tc>
          <w:tcPr>
            <w:tcW w:w="100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—</w:t>
            </w:r>
          </w:p>
        </w:tc>
      </w:tr>
      <w:tr w:rsidR="00620E2D" w:rsidRPr="00FC3E62" w:rsidTr="00947DCC">
        <w:trPr>
          <w:jc w:val="center"/>
        </w:trPr>
        <w:tc>
          <w:tcPr>
            <w:tcW w:w="392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Облаштування центру ментального здоров’я</w:t>
            </w:r>
          </w:p>
        </w:tc>
        <w:tc>
          <w:tcPr>
            <w:tcW w:w="2551" w:type="dxa"/>
            <w:vAlign w:val="center"/>
          </w:tcPr>
          <w:p w:rsidR="00620E2D" w:rsidRPr="00947DCC" w:rsidRDefault="007133B8" w:rsidP="00947DCC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 xml:space="preserve">Ремонт </w:t>
            </w:r>
            <w:r w:rsidR="00947DCC">
              <w:rPr>
                <w:rFonts w:cs="Times New Roman"/>
                <w:sz w:val="28"/>
                <w:szCs w:val="28"/>
                <w:lang w:val="uk-UA"/>
              </w:rPr>
              <w:t>-</w:t>
            </w:r>
            <w:r w:rsidRPr="00947DCC">
              <w:rPr>
                <w:rFonts w:cs="Times New Roman"/>
                <w:sz w:val="28"/>
                <w:szCs w:val="28"/>
              </w:rPr>
              <w:t>100 000 грн</w:t>
            </w:r>
          </w:p>
        </w:tc>
        <w:tc>
          <w:tcPr>
            <w:tcW w:w="2268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—</w:t>
            </w:r>
          </w:p>
        </w:tc>
        <w:tc>
          <w:tcPr>
            <w:tcW w:w="100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—</w:t>
            </w:r>
          </w:p>
        </w:tc>
      </w:tr>
      <w:tr w:rsidR="00620E2D" w:rsidRPr="00FC3E62" w:rsidTr="00947DCC">
        <w:trPr>
          <w:jc w:val="center"/>
        </w:trPr>
        <w:tc>
          <w:tcPr>
            <w:tcW w:w="392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947DCC">
              <w:rPr>
                <w:rFonts w:cs="Times New Roman"/>
                <w:sz w:val="28"/>
                <w:szCs w:val="28"/>
                <w:lang w:val="ru-RU"/>
              </w:rPr>
              <w:t>Відновлення напряму допомоги при гострому мозковому інсульті</w:t>
            </w:r>
          </w:p>
        </w:tc>
        <w:tc>
          <w:tcPr>
            <w:tcW w:w="2551" w:type="dxa"/>
            <w:vAlign w:val="center"/>
          </w:tcPr>
          <w:p w:rsidR="00620E2D" w:rsidRPr="00947DCC" w:rsidRDefault="007133B8" w:rsidP="00947DCC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 xml:space="preserve">2 палати </w:t>
            </w:r>
            <w:r w:rsidR="00947DCC">
              <w:rPr>
                <w:rFonts w:cs="Times New Roman"/>
                <w:sz w:val="28"/>
                <w:szCs w:val="28"/>
                <w:lang w:val="uk-UA"/>
              </w:rPr>
              <w:t>-</w:t>
            </w:r>
            <w:r w:rsidRPr="00947DCC">
              <w:rPr>
                <w:rFonts w:cs="Times New Roman"/>
                <w:sz w:val="28"/>
                <w:szCs w:val="28"/>
              </w:rPr>
              <w:t>200 000 грн</w:t>
            </w:r>
          </w:p>
        </w:tc>
        <w:tc>
          <w:tcPr>
            <w:tcW w:w="2268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—</w:t>
            </w:r>
          </w:p>
        </w:tc>
        <w:tc>
          <w:tcPr>
            <w:tcW w:w="100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—</w:t>
            </w:r>
          </w:p>
        </w:tc>
      </w:tr>
      <w:tr w:rsidR="00620E2D" w:rsidRPr="00FC3E62" w:rsidTr="00947DCC">
        <w:trPr>
          <w:jc w:val="center"/>
        </w:trPr>
        <w:tc>
          <w:tcPr>
            <w:tcW w:w="392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Придбання відеоендоскопічної системи VC-880</w:t>
            </w:r>
          </w:p>
        </w:tc>
        <w:tc>
          <w:tcPr>
            <w:tcW w:w="2551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4 603 000 грн</w:t>
            </w:r>
          </w:p>
        </w:tc>
        <w:tc>
          <w:tcPr>
            <w:tcW w:w="2268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—</w:t>
            </w:r>
          </w:p>
        </w:tc>
        <w:tc>
          <w:tcPr>
            <w:tcW w:w="100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—</w:t>
            </w:r>
          </w:p>
        </w:tc>
      </w:tr>
      <w:tr w:rsidR="00620E2D" w:rsidRPr="00FC3E62" w:rsidTr="00947DCC">
        <w:trPr>
          <w:jc w:val="center"/>
        </w:trPr>
        <w:tc>
          <w:tcPr>
            <w:tcW w:w="392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Капітальний ремонт укриття</w:t>
            </w:r>
          </w:p>
        </w:tc>
        <w:tc>
          <w:tcPr>
            <w:tcW w:w="2551" w:type="dxa"/>
            <w:vAlign w:val="center"/>
          </w:tcPr>
          <w:p w:rsidR="00620E2D" w:rsidRPr="00947DCC" w:rsidRDefault="007133B8" w:rsidP="00947DCC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 xml:space="preserve">Проєктування </w:t>
            </w:r>
            <w:r w:rsidR="00947DCC">
              <w:rPr>
                <w:rFonts w:cs="Times New Roman"/>
                <w:sz w:val="28"/>
                <w:szCs w:val="28"/>
                <w:lang w:val="uk-UA"/>
              </w:rPr>
              <w:t>-</w:t>
            </w:r>
            <w:r w:rsidRPr="00947DCC">
              <w:rPr>
                <w:rFonts w:cs="Times New Roman"/>
                <w:sz w:val="28"/>
                <w:szCs w:val="28"/>
              </w:rPr>
              <w:t xml:space="preserve"> 500 000 грн</w:t>
            </w:r>
          </w:p>
        </w:tc>
        <w:tc>
          <w:tcPr>
            <w:tcW w:w="2268" w:type="dxa"/>
            <w:vAlign w:val="center"/>
          </w:tcPr>
          <w:p w:rsidR="00620E2D" w:rsidRPr="00947DCC" w:rsidRDefault="007133B8" w:rsidP="00947DCC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 xml:space="preserve">Капітальний ремонт </w:t>
            </w:r>
            <w:r w:rsidR="00947DCC">
              <w:rPr>
                <w:rFonts w:cs="Times New Roman"/>
                <w:sz w:val="28"/>
                <w:szCs w:val="28"/>
                <w:lang w:val="uk-UA"/>
              </w:rPr>
              <w:t>-</w:t>
            </w:r>
            <w:r w:rsidRPr="00947DCC">
              <w:rPr>
                <w:rFonts w:cs="Times New Roman"/>
                <w:sz w:val="28"/>
                <w:szCs w:val="28"/>
              </w:rPr>
              <w:t xml:space="preserve"> 15 000 000 грн</w:t>
            </w:r>
          </w:p>
        </w:tc>
        <w:tc>
          <w:tcPr>
            <w:tcW w:w="1009" w:type="dxa"/>
            <w:vAlign w:val="center"/>
          </w:tcPr>
          <w:p w:rsidR="00620E2D" w:rsidRPr="00947DCC" w:rsidRDefault="007133B8">
            <w:pPr>
              <w:rPr>
                <w:rFonts w:cs="Times New Roman"/>
                <w:sz w:val="28"/>
                <w:szCs w:val="28"/>
              </w:rPr>
            </w:pPr>
            <w:r w:rsidRPr="00947DCC">
              <w:rPr>
                <w:rFonts w:cs="Times New Roman"/>
                <w:sz w:val="28"/>
                <w:szCs w:val="28"/>
              </w:rPr>
              <w:t>—</w:t>
            </w:r>
          </w:p>
        </w:tc>
      </w:tr>
    </w:tbl>
    <w:p w:rsidR="00620E2D" w:rsidRPr="00B805BE" w:rsidRDefault="00620E2D" w:rsidP="00B805BE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620E2D" w:rsidRPr="00B805BE" w:rsidRDefault="007133B8" w:rsidP="00B805BE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Окремим пріоритетом є придбання цифрового рентгенівського апарата та розвиток регіонального лабораторного центру; їхня остаточна вартість визначатиметься після формування технічних вимог та отримання комерційних пропозицій.</w:t>
      </w:r>
    </w:p>
    <w:p w:rsidR="00620E2D" w:rsidRPr="00B805BE" w:rsidRDefault="007133B8">
      <w:pPr>
        <w:pStyle w:val="1"/>
        <w:spacing w:before="200" w:after="120"/>
        <w:rPr>
          <w:rFonts w:ascii="Times New Roman" w:hAnsi="Times New Roman" w:cs="Times New Roman"/>
          <w:color w:val="000000" w:themeColor="text1"/>
        </w:rPr>
      </w:pPr>
      <w:r w:rsidRPr="00B805BE">
        <w:rPr>
          <w:rFonts w:ascii="Times New Roman" w:hAnsi="Times New Roman" w:cs="Times New Roman"/>
          <w:color w:val="000000" w:themeColor="text1"/>
        </w:rPr>
        <w:t>13. Управління якістю та безпекою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систематичний аналіз індикаторів якості медичної допомоги;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внутрішній контроль якості на рівні працівника, керівника структурного підрозділу та управлінського контролю;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моніторинг показників якості та коригувальні заходи;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щорічний порівняльний аналіз показників летальності та післяопераційної летальності;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централізоване постачання медичним киснем відповідних клінічних підрозділів;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розроблення стандартів обслуговування пацієнтів;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розвиток інфекційного контролю та безпеки;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дотримання галузевих стандартів і клінічних протоколів.</w:t>
      </w:r>
    </w:p>
    <w:p w:rsidR="00620E2D" w:rsidRPr="00B805BE" w:rsidRDefault="007133B8">
      <w:pPr>
        <w:pStyle w:val="1"/>
        <w:spacing w:before="200" w:after="120"/>
        <w:rPr>
          <w:rFonts w:ascii="Times New Roman" w:hAnsi="Times New Roman" w:cs="Times New Roman"/>
          <w:color w:val="auto"/>
        </w:rPr>
      </w:pPr>
      <w:r w:rsidRPr="00B805BE">
        <w:rPr>
          <w:rFonts w:ascii="Times New Roman" w:hAnsi="Times New Roman" w:cs="Times New Roman"/>
          <w:color w:val="auto"/>
        </w:rPr>
        <w:t>14. Пацієнтоорієнтований сервіс та цифровізація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покращення навігації та встановлення зрозумілих вказівників;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цифровізація процесів, які нині виконуються на папері;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запровадження багатоканального телефонного номера та сучасних засобів адміністрування звернень;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розроблення алгоритмів якісного обслуговування пацієнтів телефоном та під час звернення до закладу;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розроблення стандартів первинного та повторного прийому пацієнтів;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jc w:val="both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розвиток телемедичних послуг;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jc w:val="both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оцінювання задоволеності пацієнтів;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jc w:val="both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оновлення меблів, постільної білизни та створення палат покращеного сервісу.</w:t>
      </w:r>
    </w:p>
    <w:p w:rsidR="00620E2D" w:rsidRPr="00B805BE" w:rsidRDefault="007133B8">
      <w:pPr>
        <w:pStyle w:val="1"/>
        <w:spacing w:before="200" w:after="120"/>
        <w:rPr>
          <w:rFonts w:ascii="Times New Roman" w:hAnsi="Times New Roman" w:cs="Times New Roman"/>
          <w:color w:val="auto"/>
          <w:lang w:val="ru-RU"/>
        </w:rPr>
      </w:pPr>
      <w:r w:rsidRPr="00B805BE">
        <w:rPr>
          <w:rFonts w:ascii="Times New Roman" w:hAnsi="Times New Roman" w:cs="Times New Roman"/>
          <w:color w:val="auto"/>
          <w:lang w:val="ru-RU"/>
        </w:rPr>
        <w:lastRenderedPageBreak/>
        <w:t>15. Енергоефективність та безперебійність роботи</w:t>
      </w:r>
    </w:p>
    <w:p w:rsidR="00620E2D" w:rsidRPr="00B805BE" w:rsidRDefault="007133B8" w:rsidP="00B805BE">
      <w:pPr>
        <w:spacing w:after="0" w:line="240" w:lineRule="auto"/>
        <w:ind w:firstLine="56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Підприємство здійснює заходи з економного споживання електричної та теплової енергії, скорочення використання паливно-мастильних матеріалів та підвищення енергоефективності.</w:t>
      </w:r>
    </w:p>
    <w:p w:rsidR="00620E2D" w:rsidRPr="00B805BE" w:rsidRDefault="007133B8" w:rsidP="00B805BE">
      <w:pPr>
        <w:pStyle w:val="a0"/>
        <w:spacing w:after="0" w:line="240" w:lineRule="auto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заміна ламп розжарювання на світлодіодні;</w:t>
      </w:r>
    </w:p>
    <w:p w:rsidR="00620E2D" w:rsidRPr="00B805BE" w:rsidRDefault="007133B8" w:rsidP="00B805BE">
      <w:pPr>
        <w:pStyle w:val="a0"/>
        <w:spacing w:after="0" w:line="240" w:lineRule="auto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підтримання оптимального теплового режиму;</w:t>
      </w:r>
    </w:p>
    <w:p w:rsidR="00620E2D" w:rsidRPr="00B805BE" w:rsidRDefault="007133B8" w:rsidP="00B805BE">
      <w:pPr>
        <w:pStyle w:val="a0"/>
        <w:spacing w:after="0" w:line="240" w:lineRule="auto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подальше оновлення вікон та інженерних систем;</w:t>
      </w:r>
    </w:p>
    <w:p w:rsidR="00620E2D" w:rsidRPr="00B805BE" w:rsidRDefault="007133B8" w:rsidP="00B805BE">
      <w:pPr>
        <w:pStyle w:val="a0"/>
        <w:spacing w:after="0" w:line="240" w:lineRule="auto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використання когенераційних установок потужністю 2,4 МВт та 0,3 МВт для підвищення енергетичної стійкості;</w:t>
      </w:r>
    </w:p>
    <w:p w:rsidR="00620E2D" w:rsidRPr="00B805BE" w:rsidRDefault="007133B8" w:rsidP="00B805BE">
      <w:pPr>
        <w:pStyle w:val="a0"/>
        <w:spacing w:after="0" w:line="240" w:lineRule="auto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опрацювання можливості встановлення сонячних панелей із системою накопичення енергії.</w:t>
      </w:r>
    </w:p>
    <w:p w:rsidR="00620E2D" w:rsidRPr="00B805BE" w:rsidRDefault="007133B8">
      <w:pPr>
        <w:pStyle w:val="1"/>
        <w:spacing w:before="200" w:after="120"/>
        <w:rPr>
          <w:rFonts w:ascii="Times New Roman" w:hAnsi="Times New Roman" w:cs="Times New Roman"/>
          <w:color w:val="auto"/>
          <w:lang w:val="ru-RU"/>
        </w:rPr>
      </w:pPr>
      <w:r w:rsidRPr="00B805BE">
        <w:rPr>
          <w:rFonts w:ascii="Times New Roman" w:hAnsi="Times New Roman" w:cs="Times New Roman"/>
          <w:color w:val="auto"/>
          <w:lang w:val="ru-RU"/>
        </w:rPr>
        <w:t>16. Організаційне управління та ефективність використання ресурсів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удосконалення управління якістю, кадровими, фармацевтичними, фінансово-економічними та матеріальними ресурсами;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регулярний аналіз використання ліжкового фонду;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оптимізація розміщення структурних підрозділів і кабінетів та внутрішньої логістики;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аналіз використання приміщень та, за наявності правових підстав, передача невикористовуваного майна в оренду;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оновлення харчоблоку сучасним обладнанням;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застосування сучасних підходів до оцінки результативності.</w:t>
      </w:r>
    </w:p>
    <w:p w:rsidR="00B805BE" w:rsidRDefault="007133B8" w:rsidP="00B805BE">
      <w:pPr>
        <w:pStyle w:val="1"/>
        <w:spacing w:before="200" w:after="120" w:line="24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B805BE">
        <w:rPr>
          <w:rFonts w:ascii="Times New Roman" w:hAnsi="Times New Roman" w:cs="Times New Roman"/>
          <w:color w:val="000000" w:themeColor="text1"/>
          <w:lang w:val="ru-RU"/>
        </w:rPr>
        <w:t>17. Стратегічні цілі та завдання</w:t>
      </w:r>
    </w:p>
    <w:p w:rsidR="00620E2D" w:rsidRPr="00B805BE" w:rsidRDefault="007133B8" w:rsidP="00B805BE">
      <w:pPr>
        <w:pStyle w:val="1"/>
        <w:spacing w:before="200" w:after="120" w:line="24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B805BE">
        <w:rPr>
          <w:rFonts w:ascii="Times New Roman" w:hAnsi="Times New Roman" w:cs="Times New Roman"/>
          <w:color w:val="auto"/>
          <w:lang w:val="ru-RU"/>
        </w:rPr>
        <w:t>17.1. Розвиток медичних послуг та підвищення їх якості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розширити спектр діагностичних і лікувальних послуг;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розвивати малоінвазивні методики;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відновити інсультний та акушерський напрями;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розвивати паліативну, реабілітаційну, психіатричну та психосоціальну допомогу;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запровадити гемодіаліз та розвивати лабораторну діагностику.</w:t>
      </w:r>
    </w:p>
    <w:p w:rsidR="00620E2D" w:rsidRPr="00B805BE" w:rsidRDefault="007133B8">
      <w:pPr>
        <w:pStyle w:val="21"/>
        <w:spacing w:after="120"/>
        <w:rPr>
          <w:rFonts w:ascii="Times New Roman" w:hAnsi="Times New Roman" w:cs="Times New Roman"/>
          <w:color w:val="auto"/>
          <w:sz w:val="28"/>
          <w:szCs w:val="28"/>
        </w:rPr>
      </w:pPr>
      <w:r w:rsidRPr="00B805BE">
        <w:rPr>
          <w:rFonts w:ascii="Times New Roman" w:hAnsi="Times New Roman" w:cs="Times New Roman"/>
          <w:color w:val="auto"/>
          <w:sz w:val="28"/>
          <w:szCs w:val="28"/>
        </w:rPr>
        <w:t>17.2. Кадрова спроможність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залучити молодих лікарів дефіцитних спеціальностей;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забезпечити безперервний професійний розвиток;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підвищувати мотивацію персоналу на основі прозорих критеріїв;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покращувати умови праці та соціальні гарантії.</w:t>
      </w:r>
    </w:p>
    <w:p w:rsidR="00620E2D" w:rsidRPr="00B805BE" w:rsidRDefault="007133B8">
      <w:pPr>
        <w:pStyle w:val="21"/>
        <w:spacing w:after="120"/>
        <w:rPr>
          <w:rFonts w:ascii="Times New Roman" w:hAnsi="Times New Roman" w:cs="Times New Roman"/>
          <w:color w:val="auto"/>
          <w:sz w:val="28"/>
          <w:szCs w:val="28"/>
        </w:rPr>
      </w:pPr>
      <w:r w:rsidRPr="00B805BE">
        <w:rPr>
          <w:rFonts w:ascii="Times New Roman" w:hAnsi="Times New Roman" w:cs="Times New Roman"/>
          <w:color w:val="auto"/>
          <w:sz w:val="28"/>
          <w:szCs w:val="28"/>
        </w:rPr>
        <w:t>17.3. Фінансова стійкість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підвищувати ефективність виконання договорів з НСЗУ;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розвивати власні надходження;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залучати грантові та благодійні ресурси;</w:t>
      </w:r>
    </w:p>
    <w:p w:rsidR="00620E2D" w:rsidRPr="00B805BE" w:rsidRDefault="007133B8" w:rsidP="00B805BE">
      <w:pPr>
        <w:pStyle w:val="a0"/>
        <w:spacing w:after="6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підвищувати ефективність використання майна та ресурсів.</w:t>
      </w:r>
    </w:p>
    <w:p w:rsidR="00620E2D" w:rsidRPr="00005835" w:rsidRDefault="007133B8" w:rsidP="00B805BE">
      <w:pPr>
        <w:pStyle w:val="21"/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05835">
        <w:rPr>
          <w:rFonts w:ascii="Times New Roman" w:hAnsi="Times New Roman" w:cs="Times New Roman"/>
          <w:color w:val="auto"/>
          <w:sz w:val="28"/>
          <w:szCs w:val="28"/>
        </w:rPr>
        <w:lastRenderedPageBreak/>
        <w:t>17.4. Сучасна інфраструктура та енергетична стійкість</w:t>
      </w:r>
    </w:p>
    <w:p w:rsidR="00620E2D" w:rsidRPr="00B805BE" w:rsidRDefault="007133B8" w:rsidP="00B805BE">
      <w:pPr>
        <w:pStyle w:val="a0"/>
        <w:spacing w:after="60" w:line="240" w:lineRule="auto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реалізувати пріоритетні ремонтні та інвестиційні проєкти;</w:t>
      </w:r>
    </w:p>
    <w:p w:rsidR="00620E2D" w:rsidRPr="00B805BE" w:rsidRDefault="007133B8" w:rsidP="00B805BE">
      <w:pPr>
        <w:pStyle w:val="a0"/>
        <w:spacing w:after="60" w:line="240" w:lineRule="auto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підвищити безпеку укриття;</w:t>
      </w:r>
    </w:p>
    <w:p w:rsidR="00620E2D" w:rsidRPr="00B805BE" w:rsidRDefault="007133B8" w:rsidP="00B805BE">
      <w:pPr>
        <w:pStyle w:val="a0"/>
        <w:spacing w:after="60" w:line="240" w:lineRule="auto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оновити медичне обладнання;</w:t>
      </w:r>
    </w:p>
    <w:p w:rsidR="00620E2D" w:rsidRPr="00FC3E62" w:rsidRDefault="007133B8" w:rsidP="00B805BE">
      <w:pPr>
        <w:pStyle w:val="a0"/>
        <w:spacing w:after="60" w:line="240" w:lineRule="auto"/>
        <w:rPr>
          <w:rFonts w:cs="Times New Roman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підвищити автономність та енергоефективність Підприємства</w:t>
      </w:r>
      <w:r w:rsidRPr="00FC3E62">
        <w:rPr>
          <w:rFonts w:cs="Times New Roman"/>
          <w:lang w:val="ru-RU"/>
        </w:rPr>
        <w:t>.</w:t>
      </w:r>
    </w:p>
    <w:p w:rsidR="00620E2D" w:rsidRPr="00B805BE" w:rsidRDefault="007133B8">
      <w:pPr>
        <w:pStyle w:val="1"/>
        <w:spacing w:before="200" w:after="120"/>
        <w:rPr>
          <w:rFonts w:ascii="Times New Roman" w:hAnsi="Times New Roman" w:cs="Times New Roman"/>
          <w:color w:val="auto"/>
        </w:rPr>
      </w:pPr>
      <w:r w:rsidRPr="00B805BE">
        <w:rPr>
          <w:rFonts w:ascii="Times New Roman" w:hAnsi="Times New Roman" w:cs="Times New Roman"/>
          <w:color w:val="auto"/>
        </w:rPr>
        <w:t>18. Зведений план основних заходів</w:t>
      </w: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820"/>
        <w:gridCol w:w="2030"/>
        <w:gridCol w:w="2664"/>
      </w:tblGrid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b/>
                <w:sz w:val="28"/>
                <w:szCs w:val="28"/>
              </w:rPr>
              <w:t>Захід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b/>
                <w:sz w:val="28"/>
                <w:szCs w:val="28"/>
              </w:rPr>
              <w:t>Роки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b/>
                <w:sz w:val="28"/>
                <w:szCs w:val="28"/>
              </w:rPr>
              <w:t>Очікуваний результат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Капітальний ремонт укриття терапевтичного корпусу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2026–2027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Підвищення безпеки.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Поточний ремонт фасаду терапевтичного корпусу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2027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Покращення умов та енергоефективності.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Поточний ремонт хірургічного відділення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2027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Покращення умов перебування.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Доукомплектування штату лікарями дефіцитних спеціальностей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2026–2028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Підвищення кадрової спроможності.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Придбання автомобіля для підвозу ургентних спеціалістів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2027–2028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Підвищення оперативності.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Придбання цифрового рентгенівського апарата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2027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Покращення діагностики.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Облаштування регіонального лабораторного центру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2026–2027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Розширення лабораторної діагностики.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Придбання відеоендоскопічної системи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2026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Покращення ендоскопічної діагностики.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Відкриття інсультного блоку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2026–2027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Відновлення допомоги при ГМІ.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Відкриття діалізного відділення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2027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Надання гемодіалізної допомоги.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Відновлення акушерського напряму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2026–2027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Відновлення допомоги при пологах.</w:t>
            </w:r>
          </w:p>
        </w:tc>
      </w:tr>
      <w:tr w:rsidR="00620E2D" w:rsidRPr="008110F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Відкриття центру ментального здоров’я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2026–2027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Розширення психічної та психосоціальної допомоги.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Запровадження зубопротезування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2026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Розширення стоматологічної допомоги.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Запровадження телемедичних послуг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2026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Підвищення доступності консультацій.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Розвиток реабілітаційної допомоги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2027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Розширення реабілітаційних послуг.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Розвиток цифрового сервісу та багатоканального номера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2026–2027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Покращення комунікації.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Розроблення стандартів обслуговування пацієнтів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2026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Єдині стандарти сервісу.</w:t>
            </w:r>
          </w:p>
        </w:tc>
      </w:tr>
      <w:tr w:rsidR="00620E2D" w:rsidRPr="00FC3E62" w:rsidTr="00B805BE">
        <w:trPr>
          <w:jc w:val="center"/>
        </w:trPr>
        <w:tc>
          <w:tcPr>
            <w:tcW w:w="675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Опрацювання встановлення сонячних панелей із накопичувачем</w:t>
            </w:r>
          </w:p>
        </w:tc>
        <w:tc>
          <w:tcPr>
            <w:tcW w:w="203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2026–2027</w:t>
            </w:r>
          </w:p>
        </w:tc>
        <w:tc>
          <w:tcPr>
            <w:tcW w:w="2664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Підвищення енергетичної стійкості.</w:t>
            </w:r>
          </w:p>
        </w:tc>
      </w:tr>
    </w:tbl>
    <w:p w:rsidR="00620E2D" w:rsidRPr="00FC3E62" w:rsidRDefault="00620E2D">
      <w:pPr>
        <w:rPr>
          <w:rFonts w:cs="Times New Roman"/>
        </w:rPr>
      </w:pPr>
    </w:p>
    <w:p w:rsidR="00620E2D" w:rsidRPr="00B805BE" w:rsidRDefault="007133B8">
      <w:pPr>
        <w:pStyle w:val="1"/>
        <w:spacing w:before="200" w:after="120"/>
        <w:rPr>
          <w:rFonts w:ascii="Times New Roman" w:hAnsi="Times New Roman" w:cs="Times New Roman"/>
          <w:color w:val="auto"/>
        </w:rPr>
      </w:pPr>
      <w:r w:rsidRPr="00B805BE">
        <w:rPr>
          <w:rFonts w:ascii="Times New Roman" w:hAnsi="Times New Roman" w:cs="Times New Roman"/>
          <w:color w:val="auto"/>
        </w:rPr>
        <w:t>19. Очікувані результати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розширення доступності та переліку медичних послуг;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відновлення визначених пріоритетних медичних напрямів;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покращення якості діагностики, лікування та реабілітації;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підвищення безпеки пацієнтів і працівників;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підвищення задоволеності пацієнтів;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зміцнення кадрового потенціалу;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оновлення матеріально-технічної бази;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підвищення енергетичної та інфраструктурної стійкості;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підвищення ефективності використання ресурсів;</w:t>
      </w:r>
    </w:p>
    <w:p w:rsidR="00620E2D" w:rsidRPr="00B805BE" w:rsidRDefault="007133B8" w:rsidP="00B805BE">
      <w:pPr>
        <w:pStyle w:val="a0"/>
        <w:spacing w:after="0" w:line="240" w:lineRule="auto"/>
        <w:ind w:left="357" w:hanging="357"/>
        <w:rPr>
          <w:rFonts w:cs="Times New Roman"/>
          <w:sz w:val="28"/>
          <w:szCs w:val="28"/>
        </w:rPr>
      </w:pPr>
      <w:r w:rsidRPr="00B805BE">
        <w:rPr>
          <w:rFonts w:cs="Times New Roman"/>
          <w:sz w:val="28"/>
          <w:szCs w:val="28"/>
        </w:rPr>
        <w:t>зростання власних надходжень;</w:t>
      </w:r>
    </w:p>
    <w:p w:rsidR="00620E2D" w:rsidRPr="00FC3E62" w:rsidRDefault="007133B8" w:rsidP="00B805BE">
      <w:pPr>
        <w:pStyle w:val="a0"/>
        <w:spacing w:after="0" w:line="240" w:lineRule="auto"/>
        <w:ind w:left="357" w:hanging="357"/>
        <w:rPr>
          <w:rFonts w:cs="Times New Roman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підвищення спроможності Підприємства працювати в спроможній мережі</w:t>
      </w:r>
      <w:r w:rsidRPr="00FC3E62">
        <w:rPr>
          <w:rFonts w:cs="Times New Roman"/>
          <w:lang w:val="ru-RU"/>
        </w:rPr>
        <w:t>.</w:t>
      </w:r>
    </w:p>
    <w:p w:rsidR="00620E2D" w:rsidRPr="00B805BE" w:rsidRDefault="007133B8">
      <w:pPr>
        <w:pStyle w:val="1"/>
        <w:spacing w:before="200" w:after="120"/>
        <w:rPr>
          <w:rFonts w:ascii="Times New Roman" w:hAnsi="Times New Roman" w:cs="Times New Roman"/>
          <w:color w:val="auto"/>
          <w:lang w:val="ru-RU"/>
        </w:rPr>
      </w:pPr>
      <w:r w:rsidRPr="00B805BE">
        <w:rPr>
          <w:rFonts w:ascii="Times New Roman" w:hAnsi="Times New Roman" w:cs="Times New Roman"/>
          <w:color w:val="auto"/>
          <w:lang w:val="ru-RU"/>
        </w:rPr>
        <w:t>20. Моніторинг виконання Плану</w:t>
      </w:r>
    </w:p>
    <w:p w:rsidR="00620E2D" w:rsidRPr="00B805BE" w:rsidRDefault="007133B8" w:rsidP="00B805BE">
      <w:pPr>
        <w:spacing w:after="0" w:line="240" w:lineRule="auto"/>
        <w:ind w:firstLine="567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Моніторинг виконання Плану здійснюється керівництвом Підприємства систематично, з підготовкою щорічного аналізу стану виконання стратегічних цілей та основних заходів. За результатами моніторингу можуть визначатися коригувальні заходи та уточнюватися строки й обсяги робіт.</w:t>
      </w: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2629"/>
        <w:gridCol w:w="7560"/>
      </w:tblGrid>
      <w:tr w:rsidR="00620E2D" w:rsidRPr="00B805BE" w:rsidTr="00B805BE">
        <w:trPr>
          <w:jc w:val="center"/>
        </w:trPr>
        <w:tc>
          <w:tcPr>
            <w:tcW w:w="241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b/>
                <w:sz w:val="28"/>
                <w:szCs w:val="28"/>
              </w:rPr>
              <w:t>Напрям</w:t>
            </w:r>
          </w:p>
        </w:tc>
        <w:tc>
          <w:tcPr>
            <w:tcW w:w="7562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b/>
                <w:sz w:val="28"/>
                <w:szCs w:val="28"/>
              </w:rPr>
              <w:t>Основні показники</w:t>
            </w:r>
          </w:p>
        </w:tc>
      </w:tr>
      <w:tr w:rsidR="00620E2D" w:rsidRPr="008110F2" w:rsidTr="00B805BE">
        <w:trPr>
          <w:jc w:val="center"/>
        </w:trPr>
        <w:tc>
          <w:tcPr>
            <w:tcW w:w="241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Медична діяльність</w:t>
            </w:r>
          </w:p>
        </w:tc>
        <w:tc>
          <w:tcPr>
            <w:tcW w:w="7562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обсяги допомоги; кількість напрямів; доступність послуг.</w:t>
            </w:r>
          </w:p>
        </w:tc>
      </w:tr>
      <w:tr w:rsidR="00620E2D" w:rsidRPr="008110F2" w:rsidTr="00B805BE">
        <w:trPr>
          <w:jc w:val="center"/>
        </w:trPr>
        <w:tc>
          <w:tcPr>
            <w:tcW w:w="241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Якість і безпека</w:t>
            </w:r>
          </w:p>
        </w:tc>
        <w:tc>
          <w:tcPr>
            <w:tcW w:w="7562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індикатори якості; летальність; післяопераційна летальність; інфекційний контроль.</w:t>
            </w:r>
          </w:p>
        </w:tc>
      </w:tr>
      <w:tr w:rsidR="00620E2D" w:rsidRPr="008110F2" w:rsidTr="00B805BE">
        <w:trPr>
          <w:jc w:val="center"/>
        </w:trPr>
        <w:tc>
          <w:tcPr>
            <w:tcW w:w="241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Кадри</w:t>
            </w:r>
          </w:p>
        </w:tc>
        <w:tc>
          <w:tcPr>
            <w:tcW w:w="7562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укомплектованість; залучені фахівці; професійний розвиток.</w:t>
            </w:r>
          </w:p>
        </w:tc>
      </w:tr>
      <w:tr w:rsidR="00620E2D" w:rsidRPr="008110F2" w:rsidTr="00B805BE">
        <w:trPr>
          <w:jc w:val="center"/>
        </w:trPr>
        <w:tc>
          <w:tcPr>
            <w:tcW w:w="241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Фінанси</w:t>
            </w:r>
          </w:p>
        </w:tc>
        <w:tc>
          <w:tcPr>
            <w:tcW w:w="7562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доходи; витрати; власні надходження; виконання місцевих програм.</w:t>
            </w:r>
          </w:p>
        </w:tc>
      </w:tr>
      <w:tr w:rsidR="00620E2D" w:rsidRPr="008110F2" w:rsidTr="00B805BE">
        <w:trPr>
          <w:jc w:val="center"/>
        </w:trPr>
        <w:tc>
          <w:tcPr>
            <w:tcW w:w="241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НСЗУ</w:t>
            </w:r>
          </w:p>
        </w:tc>
        <w:tc>
          <w:tcPr>
            <w:tcW w:w="7562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виконання умов договорів; обсяги послуг; якість електронних медичних записів.</w:t>
            </w:r>
          </w:p>
        </w:tc>
      </w:tr>
      <w:tr w:rsidR="00620E2D" w:rsidRPr="008110F2" w:rsidTr="00B805BE">
        <w:trPr>
          <w:trHeight w:val="470"/>
          <w:jc w:val="center"/>
        </w:trPr>
        <w:tc>
          <w:tcPr>
            <w:tcW w:w="241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Інвестиції</w:t>
            </w:r>
          </w:p>
        </w:tc>
        <w:tc>
          <w:tcPr>
            <w:tcW w:w="7562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виконання ремонтів; придбання обладнання; виконання проєктів.</w:t>
            </w:r>
          </w:p>
        </w:tc>
      </w:tr>
      <w:tr w:rsidR="00620E2D" w:rsidRPr="008110F2" w:rsidTr="00B805BE">
        <w:trPr>
          <w:jc w:val="center"/>
        </w:trPr>
        <w:tc>
          <w:tcPr>
            <w:tcW w:w="241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lastRenderedPageBreak/>
              <w:t>Сервіс</w:t>
            </w:r>
          </w:p>
        </w:tc>
        <w:tc>
          <w:tcPr>
            <w:tcW w:w="7562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задоволеність пацієнтів; час очікування; якість комунікації.</w:t>
            </w:r>
          </w:p>
        </w:tc>
      </w:tr>
      <w:tr w:rsidR="00620E2D" w:rsidRPr="008110F2" w:rsidTr="00B805BE">
        <w:trPr>
          <w:jc w:val="center"/>
        </w:trPr>
        <w:tc>
          <w:tcPr>
            <w:tcW w:w="2410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</w:rPr>
            </w:pPr>
            <w:r w:rsidRPr="00B805BE">
              <w:rPr>
                <w:rFonts w:cs="Times New Roman"/>
                <w:sz w:val="28"/>
                <w:szCs w:val="28"/>
              </w:rPr>
              <w:t>Енергоефективність</w:t>
            </w:r>
          </w:p>
        </w:tc>
        <w:tc>
          <w:tcPr>
            <w:tcW w:w="7562" w:type="dxa"/>
            <w:vAlign w:val="center"/>
          </w:tcPr>
          <w:p w:rsidR="00620E2D" w:rsidRPr="00B805BE" w:rsidRDefault="007133B8">
            <w:pPr>
              <w:rPr>
                <w:rFonts w:cs="Times New Roman"/>
                <w:sz w:val="28"/>
                <w:szCs w:val="28"/>
                <w:lang w:val="ru-RU"/>
              </w:rPr>
            </w:pPr>
            <w:r w:rsidRPr="00B805BE">
              <w:rPr>
                <w:rFonts w:cs="Times New Roman"/>
                <w:sz w:val="28"/>
                <w:szCs w:val="28"/>
                <w:lang w:val="ru-RU"/>
              </w:rPr>
              <w:t>споживання енергії; безперебійність теплопостачання та електроживлення.</w:t>
            </w:r>
          </w:p>
        </w:tc>
      </w:tr>
    </w:tbl>
    <w:p w:rsidR="00620E2D" w:rsidRPr="00B805BE" w:rsidRDefault="00620E2D">
      <w:pPr>
        <w:rPr>
          <w:rFonts w:cs="Times New Roman"/>
          <w:sz w:val="28"/>
          <w:szCs w:val="28"/>
          <w:lang w:val="ru-RU"/>
        </w:rPr>
      </w:pPr>
    </w:p>
    <w:p w:rsidR="00620E2D" w:rsidRPr="00B805BE" w:rsidRDefault="007133B8">
      <w:pPr>
        <w:pStyle w:val="1"/>
        <w:spacing w:before="200" w:after="120"/>
        <w:rPr>
          <w:rFonts w:ascii="Times New Roman" w:hAnsi="Times New Roman" w:cs="Times New Roman"/>
          <w:color w:val="auto"/>
          <w:lang w:val="ru-RU"/>
        </w:rPr>
      </w:pPr>
      <w:r w:rsidRPr="00B805BE">
        <w:rPr>
          <w:rFonts w:ascii="Times New Roman" w:hAnsi="Times New Roman" w:cs="Times New Roman"/>
          <w:color w:val="auto"/>
          <w:lang w:val="ru-RU"/>
        </w:rPr>
        <w:t>21. Заключні положення</w:t>
      </w:r>
    </w:p>
    <w:p w:rsidR="00620E2D" w:rsidRPr="00B805BE" w:rsidRDefault="007133B8" w:rsidP="00B805BE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Реалізація Плану спрямована на сталий розвиток Підприємства, підвищення якості та доступності медичної допомоги, зміцнення кадрової, матеріально-технічної та фінансової спроможності.</w:t>
      </w:r>
    </w:p>
    <w:p w:rsidR="00620E2D" w:rsidRPr="00B805BE" w:rsidRDefault="007133B8" w:rsidP="00B805BE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Заходи Плану реалізуються в межах повноважень Підприємства, відповідно до чинного законодавства, Статуту, рішень власника та органу управління, фінансових можливостей Підприємства, укладених договорів та відповідних дозвільних і ліцензійних процедур.</w:t>
      </w:r>
    </w:p>
    <w:p w:rsidR="00005835" w:rsidRDefault="007133B8" w:rsidP="00B805BE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ru-RU"/>
        </w:rPr>
      </w:pPr>
      <w:r w:rsidRPr="00B805BE">
        <w:rPr>
          <w:rFonts w:cs="Times New Roman"/>
          <w:sz w:val="28"/>
          <w:szCs w:val="28"/>
          <w:lang w:val="ru-RU"/>
        </w:rPr>
        <w:t>У разі зміни законодавства, умов Програми медичних гарантій, договорів з НСЗУ, фінансових можливостей або інших істотних обставин окремі заходи, строки та фінансові показники Плану можуть уточнюватися у встановленому порядку.</w:t>
      </w:r>
    </w:p>
    <w:p w:rsidR="00005835" w:rsidRDefault="00005835" w:rsidP="00005835">
      <w:pPr>
        <w:rPr>
          <w:rFonts w:cs="Times New Roman"/>
          <w:sz w:val="28"/>
          <w:szCs w:val="28"/>
          <w:lang w:val="ru-RU"/>
        </w:rPr>
      </w:pPr>
    </w:p>
    <w:p w:rsidR="00620E2D" w:rsidRPr="00005835" w:rsidRDefault="00005835" w:rsidP="00005835">
      <w:pPr>
        <w:rPr>
          <w:rFonts w:cs="Times New Roman"/>
          <w:b/>
          <w:sz w:val="28"/>
          <w:szCs w:val="28"/>
          <w:lang w:val="ru-RU"/>
        </w:rPr>
      </w:pPr>
      <w:r w:rsidRPr="00005835">
        <w:rPr>
          <w:rFonts w:cs="Times New Roman"/>
          <w:b/>
          <w:sz w:val="28"/>
          <w:szCs w:val="28"/>
          <w:lang w:val="ru-RU"/>
        </w:rPr>
        <w:t xml:space="preserve">Секретар ради                                                         </w:t>
      </w:r>
      <w:r>
        <w:rPr>
          <w:rFonts w:cs="Times New Roman"/>
          <w:b/>
          <w:sz w:val="28"/>
          <w:szCs w:val="28"/>
          <w:lang w:val="ru-RU"/>
        </w:rPr>
        <w:t xml:space="preserve">                            </w:t>
      </w:r>
      <w:r w:rsidRPr="00005835">
        <w:rPr>
          <w:rFonts w:cs="Times New Roman"/>
          <w:b/>
          <w:sz w:val="28"/>
          <w:szCs w:val="28"/>
          <w:lang w:val="ru-RU"/>
        </w:rPr>
        <w:t>Лідія ОВЕРЧУК</w:t>
      </w:r>
    </w:p>
    <w:sectPr w:rsidR="00620E2D" w:rsidRPr="00005835" w:rsidSect="006F7C4C">
      <w:pgSz w:w="12240" w:h="15840"/>
      <w:pgMar w:top="426" w:right="850" w:bottom="568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939" w:rsidRDefault="00335939">
      <w:pPr>
        <w:spacing w:after="0" w:line="240" w:lineRule="auto"/>
      </w:pPr>
      <w:r>
        <w:separator/>
      </w:r>
    </w:p>
  </w:endnote>
  <w:endnote w:type="continuationSeparator" w:id="0">
    <w:p w:rsidR="00335939" w:rsidRDefault="00335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939" w:rsidRDefault="00335939">
      <w:pPr>
        <w:spacing w:after="0" w:line="240" w:lineRule="auto"/>
      </w:pPr>
      <w:r>
        <w:separator/>
      </w:r>
    </w:p>
  </w:footnote>
  <w:footnote w:type="continuationSeparator" w:id="0">
    <w:p w:rsidR="00335939" w:rsidRDefault="00335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7730"/>
    <w:rsid w:val="00005835"/>
    <w:rsid w:val="00034616"/>
    <w:rsid w:val="0006063C"/>
    <w:rsid w:val="0014144B"/>
    <w:rsid w:val="0015074B"/>
    <w:rsid w:val="001D4E55"/>
    <w:rsid w:val="0029639D"/>
    <w:rsid w:val="00326F90"/>
    <w:rsid w:val="00335939"/>
    <w:rsid w:val="003A349C"/>
    <w:rsid w:val="00620E2D"/>
    <w:rsid w:val="006C41A7"/>
    <w:rsid w:val="006C62AB"/>
    <w:rsid w:val="006C7A69"/>
    <w:rsid w:val="006F7C4C"/>
    <w:rsid w:val="007133B8"/>
    <w:rsid w:val="008110F2"/>
    <w:rsid w:val="00947DCC"/>
    <w:rsid w:val="00AA1D8D"/>
    <w:rsid w:val="00B47730"/>
    <w:rsid w:val="00B56319"/>
    <w:rsid w:val="00B805BE"/>
    <w:rsid w:val="00BA5F29"/>
    <w:rsid w:val="00CB0664"/>
    <w:rsid w:val="00E426A3"/>
    <w:rsid w:val="00EC57A5"/>
    <w:rsid w:val="00F87EE4"/>
    <w:rsid w:val="00FC3E6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89BED"/>
  <w15:docId w15:val="{4EAA9FDF-234F-4324-A9B6-516F4C7F5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Пі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и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и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и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tabs>
        <w:tab w:val="clear" w:pos="5180"/>
        <w:tab w:val="num" w:pos="360"/>
      </w:tabs>
      <w:ind w:left="360"/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у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Цитата Знак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Насичена цитата Знак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7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37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51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61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12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8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8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42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52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62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3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9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3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53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63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4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0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11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1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31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41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1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22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2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22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32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42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52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62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10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20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30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40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50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60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9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2d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3b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4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54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64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a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e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c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5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5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65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b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f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d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6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6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c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f0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3e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7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57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67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DD8EF5-563A-4C50-AD47-2784EEA5C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14764</Words>
  <Characters>8417</Characters>
  <Application>Microsoft Office Word</Application>
  <DocSecurity>0</DocSecurity>
  <Lines>70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Користувач</cp:lastModifiedBy>
  <cp:revision>8</cp:revision>
  <dcterms:created xsi:type="dcterms:W3CDTF">2013-12-23T23:15:00Z</dcterms:created>
  <dcterms:modified xsi:type="dcterms:W3CDTF">2026-09-04T10:58:00Z</dcterms:modified>
  <cp:category/>
</cp:coreProperties>
</file>